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仿宋_GB2312" w:hAnsi="宋体" w:eastAsia="仿宋_GB2312" w:cs="宋体"/>
          <w:sz w:val="32"/>
          <w:szCs w:val="32"/>
        </w:rPr>
      </w:pPr>
      <w:r>
        <w:rPr>
          <w:rFonts w:hint="eastAsia" w:ascii="仿宋_GB2312" w:hAnsi="宋体" w:eastAsia="仿宋_GB2312" w:cs="宋体"/>
          <w:sz w:val="32"/>
          <w:szCs w:val="32"/>
        </w:rPr>
        <w:t>附件2</w:t>
      </w:r>
    </w:p>
    <w:p>
      <w:pPr>
        <w:widowControl/>
        <w:spacing w:beforeLines="100"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联合国训练研究所青少年国际组织实训团</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一、项目介绍</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联合国训练研究所青少年国际组织实训团（以下简称实训团），由联合国训练研究所纽约办事处（UNITAR New York）主办。实训团主要由联合国经验丰富的外交官和高级国际组织专家及学者授课，围绕联合国可持续发展目标SDG 10“减少不平等”和SDG 13“气候行动”，通过模拟多边外交谈判让学员感受真实的外交场景。学员将赴纽约联合国总部感受联合国的工作氛围，深入了解当前全球形势下联合国的责任、职能和其为推动可持续发展所开展的工作。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实训团不仅有助于提升学员的谈判辩论技巧、复杂国际事务分析能力和跨文化交流能力，亦能锻炼学员的思辨能力和领导能力。线下实训结束后，学员还将参与线上国际组织实习，协助非政府间国际组织设计公益项目，继续践行可持续发展目标。</w:t>
      </w:r>
    </w:p>
    <w:p>
      <w:pPr>
        <w:widowControl/>
        <w:spacing w:line="56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kern w:val="0"/>
          <w:sz w:val="32"/>
          <w:szCs w:val="32"/>
        </w:rPr>
        <w:t>学习之余，学员还有机会探访美国知名高校，感受世界名校的文化气息和风采；参访美国地标人文景观，了解美国文化风俗。</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二、项目优势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在纽约联合国总部沉浸式学习。</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联合国组织专家和外交官亲自授课。</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实地体验全流程多边外交谈判过程。</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深度参访美国纽约、波士顿与4所知名高校。</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三、项目基本信息</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rPr>
        <w:t>团期</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7月21日-8月9日，共17天。（境外线下: 7月21-30日；境内线上：8月2-3日；国际组织实习：8月5-9日）。</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2. </w:t>
      </w:r>
      <w:r>
        <w:rPr>
          <w:rFonts w:hint="eastAsia" w:ascii="仿宋_GB2312" w:hAnsi="仿宋_GB2312" w:eastAsia="仿宋_GB2312" w:cs="仿宋_GB2312"/>
          <w:kern w:val="0"/>
          <w:sz w:val="32"/>
          <w:szCs w:val="32"/>
        </w:rPr>
        <w:t>班型</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36</w:t>
      </w:r>
      <w:r>
        <w:rPr>
          <w:rFonts w:ascii="仿宋_GB2312" w:hAnsi="仿宋_GB2312" w:eastAsia="仿宋_GB2312" w:cs="仿宋_GB2312"/>
          <w:kern w:val="0"/>
          <w:sz w:val="32"/>
          <w:szCs w:val="32"/>
        </w:rPr>
        <w:t>人/期</w:t>
      </w:r>
      <w:r>
        <w:rPr>
          <w:rFonts w:hint="eastAsia" w:ascii="仿宋_GB2312" w:hAnsi="仿宋_GB2312" w:eastAsia="仿宋_GB2312" w:cs="仿宋_GB2312"/>
          <w:kern w:val="0"/>
          <w:sz w:val="32"/>
          <w:szCs w:val="32"/>
        </w:rPr>
        <w:t>。</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rPr>
        <w:t>境外实训地点</w:t>
      </w:r>
      <w:r>
        <w:rPr>
          <w:rFonts w:ascii="仿宋_GB2312" w:hAnsi="仿宋_GB2312" w:eastAsia="仿宋_GB2312" w:cs="仿宋_GB2312"/>
          <w:kern w:val="0"/>
          <w:sz w:val="32"/>
          <w:szCs w:val="32"/>
        </w:rPr>
        <w:t>:美国纽约</w:t>
      </w:r>
      <w:r>
        <w:rPr>
          <w:rFonts w:hint="eastAsia" w:ascii="仿宋_GB2312" w:hAnsi="仿宋_GB2312" w:eastAsia="仿宋_GB2312" w:cs="仿宋_GB2312"/>
          <w:kern w:val="0"/>
          <w:sz w:val="32"/>
          <w:szCs w:val="32"/>
        </w:rPr>
        <w:t>、波士顿。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4. </w:t>
      </w:r>
      <w:r>
        <w:rPr>
          <w:rFonts w:hint="eastAsia" w:ascii="仿宋_GB2312" w:hAnsi="仿宋_GB2312" w:eastAsia="仿宋_GB2312" w:cs="仿宋_GB2312"/>
          <w:kern w:val="0"/>
          <w:sz w:val="32"/>
          <w:szCs w:val="32"/>
        </w:rPr>
        <w:t>实训提供单位：联合国训练研究所纽约办事处（The United Nations Institute for Training and Research, UNITAR）。</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实习提供单位：零排放研究及倡议（Zero Emission Research and Initiatives，ZERI）。</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费用：49800元/人（其中食宿部分16800元/人），包括课程费用、人文考察费用、当地城市内交通费、境外保险、当地食宿费用、活动物料费，不包括签证费、国际旅费。</w:t>
      </w:r>
    </w:p>
    <w:p>
      <w:pPr>
        <w:widowControl/>
        <w:numPr>
          <w:ilvl w:val="0"/>
          <w:numId w:val="1"/>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授课形式</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境内线上 + 境外线下。</w:t>
      </w:r>
    </w:p>
    <w:p>
      <w:pPr>
        <w:widowControl/>
        <w:spacing w:line="560" w:lineRule="exact"/>
        <w:ind w:firstLine="640" w:firstLineChars="200"/>
        <w:rPr>
          <w:rFonts w:ascii="仿宋_GB2312" w:hAnsi="仿宋_GB2312" w:eastAsia="仿宋_GB2312" w:cs="仿宋_GB2312"/>
          <w:b/>
          <w:bCs/>
          <w:sz w:val="32"/>
          <w:szCs w:val="32"/>
        </w:rPr>
      </w:pPr>
      <w:r>
        <w:rPr>
          <w:rFonts w:ascii="仿宋_GB2312" w:hAnsi="仿宋_GB2312" w:eastAsia="仿宋_GB2312" w:cs="仿宋_GB2312"/>
          <w:kern w:val="0"/>
          <w:sz w:val="32"/>
          <w:szCs w:val="32"/>
        </w:rPr>
        <w:t xml:space="preserve">8. </w:t>
      </w:r>
      <w:r>
        <w:rPr>
          <w:rFonts w:hint="eastAsia" w:ascii="仿宋_GB2312" w:hAnsi="仿宋_GB2312" w:eastAsia="仿宋_GB2312" w:cs="仿宋_GB2312"/>
          <w:kern w:val="0"/>
          <w:sz w:val="32"/>
          <w:szCs w:val="32"/>
        </w:rPr>
        <w:t>授课语言</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全英语教学。</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四、实训提供单位及实习提供单位简介</w:t>
      </w:r>
    </w:p>
    <w:p>
      <w:pPr>
        <w:widowControl/>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联合国训练研究所纽约办事处</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w:t>
      </w:r>
      <w:r>
        <w:rPr>
          <w:rFonts w:ascii="仿宋_GB2312" w:hAnsi="仿宋_GB2312" w:eastAsia="仿宋_GB2312" w:cs="仿宋_GB2312"/>
          <w:kern w:val="0"/>
          <w:sz w:val="32"/>
          <w:szCs w:val="32"/>
        </w:rPr>
        <w:t>于1963年成立，简称UNITAR，是联合国大会直属的最高级别事务执行机构，主要承担联合国系统中的训练和研究两项职能。该研究所最初的总部设在纽约，并于1993年将总部迁往瑞士日内瓦。设有3个外派办事处（美国纽约、日本广岛、德国波恩）、2个项目办公室（尼日利亚哈科特港、南苏丹朱巴）、21个附属培训中心（CIFAL全球网络）。</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宗旨与职能是加强联合国在维持和平与安全、促进经济与社会发展方面的有效性，对从事多边和双边活动的外交和外语人才进行培训，对与联合国职能与目标有关的问题进行研究，重点是为成员国提供培训。联合国训练研究所每年在全球开展近500期培训与活动，参与者约5万人，包括各国外交官、政府官员、外事培训机构工作人员、大学生等，其师资主要来自联合国相关机构和相关领域知名专家。</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联合国训练研究所纽约办事处致力于使相关成员了解联合国并具备为联合国作出贡献的能力。办事处重视满足发展中国家和最不发达国家人员的需要，向他们提供在联合国系统内有效运作所必需的知识和能力。</w:t>
      </w:r>
    </w:p>
    <w:p>
      <w:pPr>
        <w:widowControl/>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零排放研究及倡议</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零排放研究及倡议</w:t>
      </w:r>
      <w:r>
        <w:rPr>
          <w:rFonts w:ascii="仿宋_GB2312" w:hAnsi="仿宋_GB2312" w:eastAsia="仿宋_GB2312" w:cs="仿宋_GB2312"/>
          <w:kern w:val="0"/>
          <w:sz w:val="32"/>
          <w:szCs w:val="32"/>
        </w:rPr>
        <w:t>1994年4月6日由冈特·鲍利教授（Professor Gunter Pauli）在时任联合国大学校长海特尔·索萨教授（Prof. Heitor Gurgulino de Souza）的指导下，在联合国大学成立。经过多年发展，零排放研究及倡议成为了一个由3000多名科学家和专家组成的全球网络，致力为世界当前和未来的难题寻找创新的解决方案</w:t>
      </w:r>
      <w:r>
        <w:rPr>
          <w:rFonts w:hint="eastAsia" w:ascii="仿宋_GB2312" w:hAnsi="仿宋_GB2312" w:eastAsia="仿宋_GB2312" w:cs="仿宋_GB2312"/>
          <w:kern w:val="0"/>
          <w:sz w:val="32"/>
          <w:szCs w:val="32"/>
        </w:rPr>
        <w:t>，多次</w:t>
      </w:r>
      <w:r>
        <w:rPr>
          <w:rFonts w:ascii="仿宋_GB2312" w:hAnsi="仿宋_GB2312" w:eastAsia="仿宋_GB2312" w:cs="仿宋_GB2312"/>
          <w:kern w:val="0"/>
          <w:sz w:val="32"/>
          <w:szCs w:val="32"/>
        </w:rPr>
        <w:t>被美国宾夕法尼亚大学《全球智库指数报告》评选为</w:t>
      </w:r>
      <w:r>
        <w:rPr>
          <w:rFonts w:hint="eastAsia" w:ascii="仿宋_GB2312" w:hAnsi="仿宋_GB2312" w:eastAsia="仿宋_GB2312" w:cs="仿宋_GB2312"/>
          <w:kern w:val="0"/>
          <w:sz w:val="32"/>
          <w:szCs w:val="32"/>
        </w:rPr>
        <w:t>“全球十大最具创新性政策理念智库”。</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五、成果收获</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 提升批判性思维和领导力。</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 xml:space="preserve"> 由联合国训练研究所纽约办事处颁发的结业证书。</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 优秀学员有机会获得联合国训练研究所官员推荐信。</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4.</w:t>
      </w:r>
      <w:r>
        <w:rPr>
          <w:rFonts w:hint="eastAsia" w:ascii="仿宋_GB2312" w:hAnsi="仿宋_GB2312" w:eastAsia="仿宋_GB2312" w:cs="仿宋_GB2312"/>
          <w:kern w:val="0"/>
          <w:sz w:val="32"/>
          <w:szCs w:val="32"/>
        </w:rPr>
        <w:t xml:space="preserve"> 完成线上实习的学员将获得国际组织实习证书。</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5</w:t>
      </w:r>
      <w:r>
        <w:rPr>
          <w:rFonts w:hint="eastAsia" w:ascii="仿宋_GB2312" w:hAnsi="仿宋_GB2312" w:eastAsia="仿宋_GB2312" w:cs="仿宋_GB2312"/>
          <w:kern w:val="0"/>
          <w:sz w:val="32"/>
          <w:szCs w:val="32"/>
        </w:rPr>
        <w:t>. 优秀学员将获得国际组织实习机会。</w:t>
      </w:r>
    </w:p>
    <w:p>
      <w:pPr>
        <w:widowControl/>
        <w:spacing w:line="560" w:lineRule="exact"/>
        <w:ind w:firstLine="640" w:firstLineChars="200"/>
        <w:rPr>
          <w:rFonts w:ascii="仿宋_GB2312" w:hAnsi="仿宋_GB2312" w:eastAsia="仿宋_GB2312" w:cs="仿宋_GB2312"/>
          <w:strike/>
          <w:kern w:val="0"/>
          <w:sz w:val="32"/>
          <w:szCs w:val="32"/>
        </w:rPr>
      </w:pPr>
      <w:r>
        <w:rPr>
          <w:rFonts w:hint="eastAsia" w:ascii="黑体" w:hAnsi="黑体" w:eastAsia="黑体" w:cs="黑体"/>
          <w:sz w:val="32"/>
          <w:szCs w:val="32"/>
        </w:rPr>
        <w:t>六、食宿</w:t>
      </w:r>
    </w:p>
    <w:p>
      <w:pPr>
        <w:widowControl/>
        <w:spacing w:line="56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住宿标准：三星酒店（距离联合国总部</w:t>
      </w:r>
      <w:r>
        <w:rPr>
          <w:rFonts w:ascii="仿宋_GB2312" w:hAnsi="仿宋_GB2312" w:eastAsia="仿宋_GB2312" w:cs="仿宋_GB2312"/>
          <w:kern w:val="0"/>
          <w:sz w:val="32"/>
          <w:szCs w:val="32"/>
        </w:rPr>
        <w:t>30分钟</w:t>
      </w:r>
      <w:r>
        <w:rPr>
          <w:rFonts w:hint="eastAsia" w:ascii="仿宋_GB2312" w:hAnsi="仿宋_GB2312" w:eastAsia="仿宋_GB2312" w:cs="仿宋_GB2312"/>
          <w:kern w:val="0"/>
          <w:sz w:val="32"/>
          <w:szCs w:val="32"/>
        </w:rPr>
        <w:t>车程），</w:t>
      </w:r>
      <w:r>
        <w:rPr>
          <w:rFonts w:ascii="仿宋_GB2312" w:hAnsi="仿宋_GB2312" w:eastAsia="仿宋_GB2312" w:cs="仿宋_GB2312"/>
          <w:kern w:val="0"/>
          <w:sz w:val="32"/>
          <w:szCs w:val="32"/>
        </w:rPr>
        <w:t>2人/间，含</w:t>
      </w:r>
      <w:r>
        <w:rPr>
          <w:rFonts w:hint="eastAsia" w:ascii="仿宋_GB2312" w:hAnsi="仿宋_GB2312" w:eastAsia="仿宋_GB2312" w:cs="仿宋_GB2312"/>
          <w:kern w:val="0"/>
          <w:sz w:val="32"/>
          <w:szCs w:val="32"/>
        </w:rPr>
        <w:t>早餐。</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正餐餐标：特色餐及中餐。</w:t>
      </w:r>
    </w:p>
    <w:p>
      <w:pPr>
        <w:widowControl/>
        <w:spacing w:line="560" w:lineRule="exact"/>
        <w:ind w:left="1598" w:leftChars="304" w:hanging="960" w:hanging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附：1.联合国训练研究所青少年国际组织实训团日程安排（拟）</w:t>
      </w:r>
    </w:p>
    <w:p>
      <w:pPr>
        <w:widowControl/>
        <w:spacing w:line="560" w:lineRule="exact"/>
        <w:ind w:left="1597" w:leftChars="608" w:hanging="320" w:hangingChars="1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2.联合国训练研究所青少年国际组织实训团拟邀专家介绍</w:t>
      </w:r>
    </w:p>
    <w:p>
      <w:pPr>
        <w:rPr>
          <w:rFonts w:ascii="仿宋_GB2312" w:hAnsi="仿宋_GB2312" w:eastAsia="仿宋_GB2312" w:cs="仿宋_GB2312"/>
          <w:sz w:val="32"/>
        </w:rPr>
      </w:pPr>
      <w:r>
        <w:rPr>
          <w:rFonts w:ascii="仿宋_GB2312" w:hAnsi="仿宋_GB2312" w:eastAsia="仿宋_GB2312" w:cs="仿宋_GB2312"/>
          <w:sz w:val="32"/>
        </w:rPr>
        <w:br w:type="page"/>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附1</w:t>
      </w:r>
    </w:p>
    <w:p>
      <w:pPr>
        <w:widowControl/>
        <w:spacing w:beforeLines="100" w:line="38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联合国训练研究所青少年国际组织实训团</w:t>
      </w:r>
    </w:p>
    <w:p>
      <w:pPr>
        <w:widowControl/>
        <w:spacing w:beforeLines="100" w:line="38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日程安排（拟）</w:t>
      </w:r>
    </w:p>
    <w:p>
      <w:pPr>
        <w:pStyle w:val="2"/>
        <w:ind w:left="840" w:hanging="420"/>
      </w:pPr>
    </w:p>
    <w:tbl>
      <w:tblPr>
        <w:tblStyle w:val="3"/>
        <w:tblW w:w="8675" w:type="dxa"/>
        <w:tblInd w:w="-162" w:type="dxa"/>
        <w:tblLayout w:type="fixed"/>
        <w:tblCellMar>
          <w:top w:w="15" w:type="dxa"/>
          <w:left w:w="15" w:type="dxa"/>
          <w:bottom w:w="15" w:type="dxa"/>
          <w:right w:w="15" w:type="dxa"/>
        </w:tblCellMar>
      </w:tblPr>
      <w:tblGrid>
        <w:gridCol w:w="1155"/>
        <w:gridCol w:w="1370"/>
        <w:gridCol w:w="1088"/>
        <w:gridCol w:w="4500"/>
        <w:gridCol w:w="562"/>
      </w:tblGrid>
      <w:tr>
        <w:tblPrEx>
          <w:tblCellMar>
            <w:top w:w="15" w:type="dxa"/>
            <w:left w:w="15" w:type="dxa"/>
            <w:bottom w:w="15" w:type="dxa"/>
            <w:right w:w="15" w:type="dxa"/>
          </w:tblCellMar>
        </w:tblPrEx>
        <w:trPr>
          <w:trHeight w:val="774" w:hRule="atLeast"/>
        </w:trPr>
        <w:tc>
          <w:tcPr>
            <w:tcW w:w="8675" w:type="dxa"/>
            <w:gridSpan w:val="5"/>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ascii="仿宋_GB2312" w:hAnsi="仿宋_GB2312" w:eastAsia="仿宋_GB2312" w:cs="仿宋_GB2312"/>
                <w:bCs/>
                <w:sz w:val="24"/>
              </w:rPr>
            </w:pPr>
            <w:r>
              <w:rPr>
                <w:rFonts w:hint="eastAsia" w:ascii="仿宋_GB2312" w:hAnsi="仿宋_GB2312" w:eastAsia="仿宋_GB2312" w:cs="仿宋_GB2312"/>
                <w:bCs/>
                <w:sz w:val="24"/>
              </w:rPr>
              <w:t>联合国训练研究所青少年国际组织实训团</w:t>
            </w:r>
          </w:p>
        </w:tc>
      </w:tr>
      <w:tr>
        <w:tblPrEx>
          <w:tblCellMar>
            <w:top w:w="15" w:type="dxa"/>
            <w:left w:w="15" w:type="dxa"/>
            <w:bottom w:w="15" w:type="dxa"/>
            <w:right w:w="15" w:type="dxa"/>
          </w:tblCellMar>
        </w:tblPrEx>
        <w:trPr>
          <w:trHeight w:val="367" w:hRule="atLeast"/>
        </w:trPr>
        <w:tc>
          <w:tcPr>
            <w:tcW w:w="8675" w:type="dxa"/>
            <w:gridSpan w:val="5"/>
            <w:tcBorders>
              <w:top w:val="single" w:color="1F2329" w:sz="6" w:space="0"/>
              <w:left w:val="single" w:color="1F2329" w:sz="6" w:space="0"/>
              <w:bottom w:val="single" w:color="1F2329" w:sz="6" w:space="0"/>
              <w:right w:val="single" w:color="1F2329" w:sz="6" w:space="0"/>
            </w:tcBorders>
            <w:shd w:val="clear" w:color="auto" w:fill="auto"/>
            <w:noWrap/>
            <w:vAlign w:val="center"/>
          </w:tcPr>
          <w:p>
            <w:pPr>
              <w:numPr>
                <w:ilvl w:val="255"/>
                <w:numId w:val="0"/>
              </w:numPr>
              <w:spacing w:before="120" w:after="120"/>
              <w:ind w:firstLine="420" w:firstLineChars="175"/>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1.理论学习（含开营和闭营仪式）：23.5课时</w:t>
            </w:r>
          </w:p>
          <w:p>
            <w:pPr>
              <w:numPr>
                <w:ilvl w:val="255"/>
                <w:numId w:val="0"/>
              </w:numPr>
              <w:spacing w:before="120" w:after="120"/>
              <w:ind w:firstLine="420" w:firstLineChars="175"/>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2.参访交流：14.5课时</w:t>
            </w:r>
          </w:p>
          <w:p>
            <w:pPr>
              <w:numPr>
                <w:ilvl w:val="255"/>
                <w:numId w:val="0"/>
              </w:numPr>
              <w:spacing w:before="120" w:after="120"/>
              <w:ind w:firstLine="420" w:firstLineChars="175"/>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3.文化交流：15课时</w:t>
            </w:r>
          </w:p>
          <w:p>
            <w:pPr>
              <w:numPr>
                <w:ilvl w:val="255"/>
                <w:numId w:val="0"/>
              </w:numPr>
              <w:spacing w:before="120" w:after="120"/>
              <w:ind w:firstLine="420" w:firstLineChars="175"/>
              <w:jc w:val="left"/>
              <w:rPr>
                <w:rFonts w:ascii="仿宋" w:hAnsi="仿宋" w:eastAsia="仿宋" w:cs="仿宋"/>
                <w:bCs/>
                <w:sz w:val="24"/>
              </w:rPr>
            </w:pPr>
            <w:r>
              <w:rPr>
                <w:rFonts w:hint="eastAsia" w:ascii="仿宋_GB2312" w:hAnsi="仿宋_GB2312" w:eastAsia="仿宋_GB2312" w:cs="仿宋_GB2312"/>
                <w:bCs/>
                <w:sz w:val="24"/>
              </w:rPr>
              <w:t>4.国际组织实习：25课时</w:t>
            </w:r>
          </w:p>
        </w:tc>
      </w:tr>
      <w:tr>
        <w:tblPrEx>
          <w:tblCellMar>
            <w:top w:w="15" w:type="dxa"/>
            <w:left w:w="15" w:type="dxa"/>
            <w:bottom w:w="15" w:type="dxa"/>
            <w:right w:w="15" w:type="dxa"/>
          </w:tblCellMar>
        </w:tblPrEx>
        <w:trPr>
          <w:trHeight w:val="90" w:hRule="atLeast"/>
        </w:trPr>
        <w:tc>
          <w:tcPr>
            <w:tcW w:w="1155"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日期</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时间</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主题</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内容</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课时</w:t>
            </w:r>
          </w:p>
        </w:tc>
      </w:tr>
      <w:tr>
        <w:tblPrEx>
          <w:tblCellMar>
            <w:top w:w="15" w:type="dxa"/>
            <w:left w:w="15" w:type="dxa"/>
            <w:bottom w:w="15" w:type="dxa"/>
            <w:right w:w="15" w:type="dxa"/>
          </w:tblCellMar>
        </w:tblPrEx>
        <w:trPr>
          <w:trHeight w:val="567" w:hRule="atLeast"/>
        </w:trPr>
        <w:tc>
          <w:tcPr>
            <w:tcW w:w="8675" w:type="dxa"/>
            <w:gridSpan w:val="5"/>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线下实训阶段</w:t>
            </w:r>
          </w:p>
        </w:tc>
      </w:tr>
      <w:tr>
        <w:tblPrEx>
          <w:tblCellMar>
            <w:top w:w="15" w:type="dxa"/>
            <w:left w:w="15" w:type="dxa"/>
            <w:bottom w:w="15" w:type="dxa"/>
            <w:right w:w="15" w:type="dxa"/>
          </w:tblCellMar>
        </w:tblPrEx>
        <w:trPr>
          <w:trHeight w:val="329"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7月21日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下午</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抵达纽约</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抵达+酒店入住</w:t>
            </w:r>
          </w:p>
        </w:tc>
      </w:tr>
      <w:tr>
        <w:tblPrEx>
          <w:tblCellMar>
            <w:top w:w="15" w:type="dxa"/>
            <w:left w:w="15" w:type="dxa"/>
            <w:bottom w:w="15" w:type="dxa"/>
            <w:right w:w="15" w:type="dxa"/>
          </w:tblCellMar>
        </w:tblPrEx>
        <w:trPr>
          <w:trHeight w:val="380"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18:00-19:00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自助餐</w:t>
            </w:r>
          </w:p>
        </w:tc>
      </w:tr>
      <w:tr>
        <w:tblPrEx>
          <w:tblCellMar>
            <w:top w:w="15" w:type="dxa"/>
            <w:left w:w="15" w:type="dxa"/>
            <w:bottom w:w="15" w:type="dxa"/>
            <w:right w:w="15" w:type="dxa"/>
          </w:tblCellMar>
        </w:tblPrEx>
        <w:trPr>
          <w:trHeight w:val="467"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7月22日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90"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9:30-12:30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文化交流</w:t>
            </w:r>
          </w:p>
        </w:tc>
        <w:tc>
          <w:tcPr>
            <w:tcW w:w="4500"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行走中的文化课堂：纽约地标参观</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1.参观纽约三一教堂，见证纽约三个多世纪的风云变迁；</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2.参观西方金融中心——华尔街，参观“华尔街铜牛”雕像，了解美国金融中心的发展历史。</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w:t>
            </w:r>
          </w:p>
        </w:tc>
      </w:tr>
      <w:tr>
        <w:tblPrEx>
          <w:tblCellMar>
            <w:top w:w="15" w:type="dxa"/>
            <w:left w:w="15" w:type="dxa"/>
            <w:bottom w:w="15" w:type="dxa"/>
            <w:right w:w="15" w:type="dxa"/>
          </w:tblCellMar>
        </w:tblPrEx>
        <w:trPr>
          <w:trHeight w:val="249"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12:30-13:30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p>
        </w:tc>
      </w:tr>
      <w:tr>
        <w:tblPrEx>
          <w:tblCellMar>
            <w:top w:w="15" w:type="dxa"/>
            <w:left w:w="15" w:type="dxa"/>
            <w:bottom w:w="15" w:type="dxa"/>
            <w:right w:w="15" w:type="dxa"/>
          </w:tblCellMar>
        </w:tblPrEx>
        <w:trPr>
          <w:trHeight w:val="2162"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13:30-18:00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文化交流</w:t>
            </w:r>
          </w:p>
        </w:tc>
        <w:tc>
          <w:tcPr>
            <w:tcW w:w="4500"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行走中的文化课堂：纽约地标参观</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1.走进已有接近 150 年历史的中央公园，感受不拘形式的、生动有趣的设计风格；</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2.参观时报广场和第五大道，在色彩绚烂的霓虹灯和街头艺人中，感受纽约曼哈顿繁华的商业中心。</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6</w:t>
            </w:r>
          </w:p>
        </w:tc>
      </w:tr>
      <w:tr>
        <w:tblPrEx>
          <w:tblCellMar>
            <w:top w:w="15" w:type="dxa"/>
            <w:left w:w="15" w:type="dxa"/>
            <w:bottom w:w="15" w:type="dxa"/>
            <w:right w:w="15" w:type="dxa"/>
          </w:tblCellMar>
        </w:tblPrEx>
        <w:trPr>
          <w:trHeight w:val="423"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widowControl/>
              <w:jc w:val="center"/>
              <w:rPr>
                <w:rFonts w:ascii="仿宋" w:hAnsi="仿宋" w:eastAsia="仿宋" w:cs="仿宋"/>
                <w:bCs/>
                <w:color w:val="1F2329"/>
                <w:kern w:val="0"/>
                <w:sz w:val="20"/>
                <w:szCs w:val="20"/>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18:00-19:00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自助餐</w:t>
            </w:r>
          </w:p>
        </w:tc>
      </w:tr>
      <w:tr>
        <w:tblPrEx>
          <w:tblCellMar>
            <w:top w:w="15" w:type="dxa"/>
            <w:left w:w="15" w:type="dxa"/>
            <w:bottom w:w="15" w:type="dxa"/>
            <w:right w:w="15" w:type="dxa"/>
          </w:tblCellMar>
        </w:tblPrEx>
        <w:trPr>
          <w:trHeight w:val="112"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7月23日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8:00-8:30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978"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9:00-10:00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开营仪式</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开营仪式</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在联合国大楼里召开开营仪式。 </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r>
      <w:tr>
        <w:tblPrEx>
          <w:tblCellMar>
            <w:top w:w="15" w:type="dxa"/>
            <w:left w:w="15" w:type="dxa"/>
            <w:bottom w:w="15" w:type="dxa"/>
            <w:right w:w="15" w:type="dxa"/>
          </w:tblCellMar>
        </w:tblPrEx>
        <w:trPr>
          <w:trHeight w:val="1636"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10:00-12:00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联合国历史及架构介绍</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联合国外交官将介绍联合国的历史、架构等。 </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16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12:10-14:00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961"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文化交流</w:t>
            </w:r>
          </w:p>
        </w:tc>
        <w:tc>
          <w:tcPr>
            <w:tcW w:w="4500"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行走中的文化课堂：纽约大都会艺术博物馆</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自由参观世界上最大的艺术博物馆——纽约大都会艺术博物馆，了解全球5000多年的艺术历史。</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397"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17:00-19:00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自助餐</w:t>
            </w:r>
          </w:p>
        </w:tc>
      </w:tr>
      <w:tr>
        <w:tblPrEx>
          <w:tblCellMar>
            <w:top w:w="15" w:type="dxa"/>
            <w:left w:w="15" w:type="dxa"/>
            <w:bottom w:w="15" w:type="dxa"/>
            <w:right w:w="15" w:type="dxa"/>
          </w:tblCellMar>
        </w:tblPrEx>
        <w:trPr>
          <w:trHeight w:val="247"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7月24日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1297"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10:00-13:00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多边外交学习与实践之谈判理论</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向学员详细介绍不同类型的谈判程序和进展；学员也将有充足的机会进行公开演讲的学习和练习，为后面的模拟多边外交演练做准备。</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w:t>
            </w:r>
          </w:p>
        </w:tc>
      </w:tr>
      <w:tr>
        <w:tblPrEx>
          <w:tblCellMar>
            <w:top w:w="15" w:type="dxa"/>
            <w:left w:w="15" w:type="dxa"/>
            <w:bottom w:w="15" w:type="dxa"/>
            <w:right w:w="15" w:type="dxa"/>
          </w:tblCellMar>
        </w:tblPrEx>
        <w:trPr>
          <w:trHeight w:val="101"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13:00-14:00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90"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参访交流</w:t>
            </w:r>
          </w:p>
        </w:tc>
        <w:tc>
          <w:tcPr>
            <w:tcW w:w="4500" w:type="dxa"/>
            <w:tcBorders>
              <w:top w:val="single" w:color="1F2329" w:sz="6" w:space="0"/>
              <w:left w:val="single" w:color="DEE0E3"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名校探访—哥伦比亚大学</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校园参观，了解学校历史、专业、办学条件及招生标准等。</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17:30-19:30</w:t>
            </w:r>
          </w:p>
        </w:tc>
        <w:tc>
          <w:tcPr>
            <w:tcW w:w="1088" w:type="dxa"/>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牛排餐</w:t>
            </w:r>
          </w:p>
        </w:tc>
      </w:tr>
      <w:tr>
        <w:tblPrEx>
          <w:tblCellMar>
            <w:top w:w="15" w:type="dxa"/>
            <w:left w:w="15" w:type="dxa"/>
            <w:bottom w:w="15" w:type="dxa"/>
            <w:right w:w="15" w:type="dxa"/>
          </w:tblCellMar>
        </w:tblPrEx>
        <w:trPr>
          <w:trHeight w:val="253"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7月25日</w:t>
            </w:r>
          </w:p>
        </w:tc>
        <w:tc>
          <w:tcPr>
            <w:tcW w:w="1370" w:type="dxa"/>
            <w:tcBorders>
              <w:top w:val="single" w:color="1F2329" w:sz="6" w:space="0"/>
              <w:left w:val="single" w:color="1F2329" w:sz="6" w:space="0"/>
              <w:bottom w:val="single" w:color="1F2329" w:sz="6"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8:30-9:30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auto" w:sz="4" w:space="0"/>
              <w:left w:val="single" w:color="auto" w:sz="4"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2752"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DEE0E3"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10:00-12:00</w:t>
            </w:r>
          </w:p>
        </w:tc>
        <w:tc>
          <w:tcPr>
            <w:tcW w:w="1088"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多边外交学习与实践之之气候变化（可持续发展目标SDG 13）</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学员将深入了解《巴黎协定》以及正在进行的国际气候谈判。</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模拟演练：气候问题是当今国际辩论中最突出的问题之一。 学员将有机会代表不同国家参与气候问题的讨论和模拟谈判。</w:t>
            </w:r>
          </w:p>
        </w:tc>
        <w:tc>
          <w:tcPr>
            <w:tcW w:w="562"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173"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12:00-14:00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auto" w:sz="4" w:space="0"/>
              <w:left w:val="single" w:color="auto" w:sz="4"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562"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DEE0E3"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tcBorders>
              <w:top w:val="single" w:color="auto" w:sz="4"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参访交流</w:t>
            </w:r>
          </w:p>
        </w:tc>
        <w:tc>
          <w:tcPr>
            <w:tcW w:w="4500" w:type="dxa"/>
            <w:tcBorders>
              <w:top w:val="single" w:color="auto" w:sz="4"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名校探访—纽约大学</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校园参观，了解学校历史、专业、办学条件及招生标准等。</w:t>
            </w:r>
          </w:p>
        </w:tc>
        <w:tc>
          <w:tcPr>
            <w:tcW w:w="562"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177"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17:00-19:00</w:t>
            </w:r>
          </w:p>
        </w:tc>
        <w:tc>
          <w:tcPr>
            <w:tcW w:w="1088" w:type="dxa"/>
            <w:tcBorders>
              <w:top w:val="single" w:color="DEE0E3"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DEE0E3"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自理</w:t>
            </w:r>
          </w:p>
        </w:tc>
      </w:tr>
      <w:tr>
        <w:tblPrEx>
          <w:tblCellMar>
            <w:top w:w="15" w:type="dxa"/>
            <w:left w:w="15" w:type="dxa"/>
            <w:bottom w:w="15" w:type="dxa"/>
            <w:right w:w="15" w:type="dxa"/>
          </w:tblCellMar>
        </w:tblPrEx>
        <w:trPr>
          <w:trHeight w:val="540"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7月26日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3258"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10:00-12:00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多边外交学习与实践之国际难民挑战（可持续发展目标SDG 10）</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结合SDG 10，学员将以难民危机为背景学习国际政策制定的理论知识并进行模拟谈判。</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模拟谈判：学员将扮演不同政府代表，就国际难民问题进行谈判。讨论涵盖以下问题：各国之间用于建设可持续难民营的财政资源分配、边界谈判等。</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329"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12:00-13:30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356"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14:00-16:30</w:t>
            </w:r>
          </w:p>
        </w:tc>
        <w:tc>
          <w:tcPr>
            <w:tcW w:w="1088"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参访交流</w:t>
            </w:r>
          </w:p>
        </w:tc>
        <w:tc>
          <w:tcPr>
            <w:tcW w:w="4500"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联合国参访</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3</w:t>
            </w:r>
          </w:p>
        </w:tc>
      </w:tr>
      <w:tr>
        <w:tblPrEx>
          <w:tblCellMar>
            <w:top w:w="15" w:type="dxa"/>
            <w:left w:w="15" w:type="dxa"/>
            <w:bottom w:w="15" w:type="dxa"/>
            <w:right w:w="15" w:type="dxa"/>
          </w:tblCellMar>
        </w:tblPrEx>
        <w:trPr>
          <w:trHeight w:val="237"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18:30-19:30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313"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7月27日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178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10:00-12:00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领导力训练—从多元文化环境中脱颖而出</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联合国高级职业培训老师将帮助学员识别自己的个人领导风格，学习如何以最专业、最恰当的方式塑造自己，就共同的全球问题表达自己的观点，展现个人领导力。 </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429"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12:00-13:30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1550"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外交语言和社交礼仪训练</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强化英语书面及口语技能，了解外交场景下的社交礼仪；并聆听联合国外交官的经验分享。</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114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16:00-17:00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结营仪式</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结营仪式</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由联合国训练研究所项目负责人总结学员表现并颁发证书。</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1.5</w:t>
            </w:r>
          </w:p>
        </w:tc>
      </w:tr>
      <w:tr>
        <w:tblPrEx>
          <w:tblCellMar>
            <w:top w:w="15" w:type="dxa"/>
            <w:left w:w="15" w:type="dxa"/>
            <w:bottom w:w="15" w:type="dxa"/>
            <w:right w:w="15" w:type="dxa"/>
          </w:tblCellMar>
        </w:tblPrEx>
        <w:trPr>
          <w:trHeight w:val="535"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17:00-18:00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49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18:00-22:00</w:t>
            </w:r>
          </w:p>
        </w:tc>
        <w:tc>
          <w:tcPr>
            <w:tcW w:w="1088" w:type="dxa"/>
            <w:tcBorders>
              <w:top w:val="single" w:color="1F2329" w:sz="6" w:space="0"/>
              <w:left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前往波士顿</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乘大巴前往波士顿</w:t>
            </w:r>
          </w:p>
        </w:tc>
      </w:tr>
      <w:tr>
        <w:tblPrEx>
          <w:tblCellMar>
            <w:top w:w="15" w:type="dxa"/>
            <w:left w:w="15" w:type="dxa"/>
            <w:bottom w:w="15" w:type="dxa"/>
            <w:right w:w="15" w:type="dxa"/>
          </w:tblCellMar>
        </w:tblPrEx>
        <w:trPr>
          <w:trHeight w:val="315" w:hRule="atLeast"/>
        </w:trPr>
        <w:tc>
          <w:tcPr>
            <w:tcW w:w="1155" w:type="dxa"/>
            <w:vMerge w:val="restart"/>
            <w:tcBorders>
              <w:top w:val="single" w:color="1F2329" w:sz="6" w:space="0"/>
              <w:left w:val="single" w:color="auto" w:sz="4"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7月28日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w:t>
            </w:r>
          </w:p>
        </w:tc>
      </w:tr>
      <w:tr>
        <w:tblPrEx>
          <w:tblCellMar>
            <w:top w:w="15" w:type="dxa"/>
            <w:left w:w="15" w:type="dxa"/>
            <w:bottom w:w="15" w:type="dxa"/>
            <w:right w:w="15" w:type="dxa"/>
          </w:tblCellMar>
        </w:tblPrEx>
        <w:trPr>
          <w:trHeight w:val="1453" w:hRule="atLeast"/>
        </w:trPr>
        <w:tc>
          <w:tcPr>
            <w:tcW w:w="1155" w:type="dxa"/>
            <w:vMerge w:val="continue"/>
            <w:tcBorders>
              <w:top w:val="single" w:color="1F2329" w:sz="6" w:space="0"/>
              <w:left w:val="single" w:color="auto" w:sz="4"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9:00-12:00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参访交流</w:t>
            </w:r>
          </w:p>
        </w:tc>
        <w:tc>
          <w:tcPr>
            <w:tcW w:w="4500" w:type="dxa"/>
            <w:tcBorders>
              <w:top w:val="single" w:color="1F2329" w:sz="6" w:space="0"/>
              <w:left w:val="single" w:color="DEE0E3"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名校探访—麻省理工学院</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校园参观，了解学校历史、专业、办学条件及招生标准等。</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4</w:t>
            </w:r>
          </w:p>
        </w:tc>
      </w:tr>
      <w:tr>
        <w:tblPrEx>
          <w:tblCellMar>
            <w:top w:w="15" w:type="dxa"/>
            <w:left w:w="15" w:type="dxa"/>
            <w:bottom w:w="15" w:type="dxa"/>
            <w:right w:w="15" w:type="dxa"/>
          </w:tblCellMar>
        </w:tblPrEx>
        <w:trPr>
          <w:trHeight w:val="540" w:hRule="atLeast"/>
        </w:trPr>
        <w:tc>
          <w:tcPr>
            <w:tcW w:w="1155" w:type="dxa"/>
            <w:vMerge w:val="continue"/>
            <w:tcBorders>
              <w:top w:val="single" w:color="1F2329" w:sz="6" w:space="0"/>
              <w:left w:val="single" w:color="auto" w:sz="4" w:space="0"/>
              <w:bottom w:val="single" w:color="auto" w:sz="4"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12:00-14:00</w:t>
            </w:r>
          </w:p>
        </w:tc>
        <w:tc>
          <w:tcPr>
            <w:tcW w:w="1088" w:type="dxa"/>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午餐</w:t>
            </w:r>
          </w:p>
        </w:tc>
        <w:tc>
          <w:tcPr>
            <w:tcW w:w="5062" w:type="dxa"/>
            <w:gridSpan w:val="2"/>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中餐</w:t>
            </w:r>
          </w:p>
        </w:tc>
      </w:tr>
      <w:tr>
        <w:tblPrEx>
          <w:tblCellMar>
            <w:top w:w="15" w:type="dxa"/>
            <w:left w:w="15" w:type="dxa"/>
            <w:bottom w:w="15" w:type="dxa"/>
            <w:right w:w="15" w:type="dxa"/>
          </w:tblCellMar>
        </w:tblPrEx>
        <w:trPr>
          <w:trHeight w:val="1243" w:hRule="atLeast"/>
        </w:trPr>
        <w:tc>
          <w:tcPr>
            <w:tcW w:w="115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参访交流</w:t>
            </w:r>
          </w:p>
        </w:tc>
        <w:tc>
          <w:tcPr>
            <w:tcW w:w="45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名校探访—哈佛大学</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校园参观，了解学校历史、专业、办学条件及招生标准等。</w:t>
            </w:r>
          </w:p>
        </w:tc>
        <w:tc>
          <w:tcPr>
            <w:tcW w:w="562"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2039" w:hRule="atLeast"/>
        </w:trPr>
        <w:tc>
          <w:tcPr>
            <w:tcW w:w="1155" w:type="dxa"/>
            <w:vMerge w:val="continue"/>
            <w:tcBorders>
              <w:top w:val="single" w:color="auto" w:sz="4" w:space="0"/>
              <w:left w:val="single" w:color="auto" w:sz="4"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auto" w:sz="4" w:space="0"/>
              <w:left w:val="single" w:color="1F2329" w:sz="6" w:space="0"/>
              <w:bottom w:val="single" w:color="1F2329" w:sz="6" w:space="0"/>
              <w:right w:val="single" w:color="DEE0E3"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16:00-18:00</w:t>
            </w:r>
          </w:p>
        </w:tc>
        <w:tc>
          <w:tcPr>
            <w:tcW w:w="1088"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文化交流</w:t>
            </w:r>
          </w:p>
        </w:tc>
        <w:tc>
          <w:tcPr>
            <w:tcW w:w="4500"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行走中的文化课堂：波士顿必打卡的美食广场</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走进历史悠久的波士顿著名景点——昆西市场，品尝当地小吃，观看异国街头表演，感受当地文化。</w:t>
            </w:r>
          </w:p>
        </w:tc>
        <w:tc>
          <w:tcPr>
            <w:tcW w:w="562" w:type="dxa"/>
            <w:tcBorders>
              <w:top w:val="single" w:color="auto" w:sz="4" w:space="0"/>
              <w:left w:val="single" w:color="DEE0E3"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361" w:hRule="atLeast"/>
        </w:trPr>
        <w:tc>
          <w:tcPr>
            <w:tcW w:w="1155" w:type="dxa"/>
            <w:vMerge w:val="continue"/>
            <w:tcBorders>
              <w:top w:val="single" w:color="1F2329" w:sz="6" w:space="0"/>
              <w:left w:val="single" w:color="auto" w:sz="4"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18:00-19:00</w:t>
            </w:r>
          </w:p>
        </w:tc>
        <w:tc>
          <w:tcPr>
            <w:tcW w:w="1088" w:type="dxa"/>
            <w:tcBorders>
              <w:top w:val="single" w:color="auto" w:sz="4" w:space="0"/>
              <w:left w:val="single" w:color="auto" w:sz="4"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晚餐</w:t>
            </w:r>
          </w:p>
        </w:tc>
        <w:tc>
          <w:tcPr>
            <w:tcW w:w="5062" w:type="dxa"/>
            <w:gridSpan w:val="2"/>
            <w:tcBorders>
              <w:top w:val="single" w:color="auto" w:sz="4" w:space="0"/>
              <w:left w:val="single" w:color="1F2329" w:sz="6"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龙虾汉堡</w:t>
            </w:r>
          </w:p>
        </w:tc>
      </w:tr>
      <w:tr>
        <w:tblPrEx>
          <w:tblCellMar>
            <w:top w:w="15" w:type="dxa"/>
            <w:left w:w="15" w:type="dxa"/>
            <w:bottom w:w="15" w:type="dxa"/>
            <w:right w:w="15" w:type="dxa"/>
          </w:tblCellMar>
        </w:tblPrEx>
        <w:trPr>
          <w:trHeight w:val="97"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7月29日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8:30-9:30</w:t>
            </w:r>
          </w:p>
        </w:tc>
        <w:tc>
          <w:tcPr>
            <w:tcW w:w="1088" w:type="dxa"/>
            <w:tcBorders>
              <w:top w:val="single" w:color="auto" w:sz="4"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早餐</w:t>
            </w:r>
          </w:p>
        </w:tc>
        <w:tc>
          <w:tcPr>
            <w:tcW w:w="5062" w:type="dxa"/>
            <w:gridSpan w:val="2"/>
            <w:tcBorders>
              <w:top w:val="single" w:color="auto" w:sz="4"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酒店内早餐</w:t>
            </w:r>
          </w:p>
        </w:tc>
      </w:tr>
      <w:tr>
        <w:tblPrEx>
          <w:tblCellMar>
            <w:top w:w="15" w:type="dxa"/>
            <w:left w:w="15" w:type="dxa"/>
            <w:bottom w:w="15" w:type="dxa"/>
            <w:right w:w="15" w:type="dxa"/>
          </w:tblCellMar>
        </w:tblPrEx>
        <w:trPr>
          <w:trHeight w:val="90" w:hRule="atLeast"/>
        </w:trPr>
        <w:tc>
          <w:tcPr>
            <w:tcW w:w="1155" w:type="dxa"/>
            <w:vMerge w:val="continue"/>
            <w:tcBorders>
              <w:top w:val="single" w:color="1F2329" w:sz="6" w:space="0"/>
              <w:left w:val="single" w:color="1F2329" w:sz="6" w:space="0"/>
              <w:bottom w:val="single" w:color="auto" w:sz="4"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9:30-18:00</w:t>
            </w:r>
          </w:p>
        </w:tc>
        <w:tc>
          <w:tcPr>
            <w:tcW w:w="1088" w:type="dxa"/>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回国</w:t>
            </w:r>
          </w:p>
        </w:tc>
        <w:tc>
          <w:tcPr>
            <w:tcW w:w="5062" w:type="dxa"/>
            <w:gridSpan w:val="2"/>
            <w:tcBorders>
              <w:top w:val="single" w:color="1F2329" w:sz="6"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送机+返回中国</w:t>
            </w:r>
          </w:p>
        </w:tc>
      </w:tr>
      <w:tr>
        <w:tblPrEx>
          <w:tblCellMar>
            <w:top w:w="15" w:type="dxa"/>
            <w:left w:w="15" w:type="dxa"/>
            <w:bottom w:w="15" w:type="dxa"/>
            <w:right w:w="15" w:type="dxa"/>
          </w:tblCellMar>
        </w:tblPrEx>
        <w:trPr>
          <w:trHeight w:val="354" w:hRule="atLeast"/>
        </w:trPr>
        <w:tc>
          <w:tcPr>
            <w:tcW w:w="1155" w:type="dxa"/>
            <w:tcBorders>
              <w:top w:val="single" w:color="auto" w:sz="4" w:space="0"/>
              <w:left w:val="single" w:color="auto" w:sz="4"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7月30日</w:t>
            </w:r>
          </w:p>
        </w:tc>
        <w:tc>
          <w:tcPr>
            <w:tcW w:w="1370"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全天</w:t>
            </w:r>
          </w:p>
        </w:tc>
        <w:tc>
          <w:tcPr>
            <w:tcW w:w="1088" w:type="dxa"/>
            <w:tcBorders>
              <w:top w:val="single" w:color="auto" w:sz="4" w:space="0"/>
              <w:left w:val="single" w:color="1F2329" w:sz="6" w:space="0"/>
              <w:bottom w:val="single" w:color="auto" w:sz="4"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抵达</w:t>
            </w:r>
          </w:p>
        </w:tc>
        <w:tc>
          <w:tcPr>
            <w:tcW w:w="5062" w:type="dxa"/>
            <w:gridSpan w:val="2"/>
            <w:tcBorders>
              <w:top w:val="single" w:color="auto" w:sz="4" w:space="0"/>
              <w:left w:val="single" w:color="1F2329" w:sz="6" w:space="0"/>
              <w:bottom w:val="single" w:color="auto" w:sz="4" w:space="0"/>
              <w:right w:val="single" w:color="auto" w:sz="4"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抵达中国</w:t>
            </w:r>
          </w:p>
        </w:tc>
      </w:tr>
      <w:tr>
        <w:tblPrEx>
          <w:tblCellMar>
            <w:top w:w="15" w:type="dxa"/>
            <w:left w:w="15" w:type="dxa"/>
            <w:bottom w:w="15" w:type="dxa"/>
            <w:right w:w="15" w:type="dxa"/>
          </w:tblCellMar>
        </w:tblPrEx>
        <w:trPr>
          <w:trHeight w:val="363" w:hRule="atLeast"/>
        </w:trPr>
        <w:tc>
          <w:tcPr>
            <w:tcW w:w="8675" w:type="dxa"/>
            <w:gridSpan w:val="5"/>
            <w:tcBorders>
              <w:top w:val="single" w:color="auto" w:sz="4"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线上课程阶段</w:t>
            </w:r>
          </w:p>
        </w:tc>
      </w:tr>
      <w:tr>
        <w:tblPrEx>
          <w:tblCellMar>
            <w:top w:w="15" w:type="dxa"/>
            <w:left w:w="15" w:type="dxa"/>
            <w:bottom w:w="15" w:type="dxa"/>
            <w:right w:w="15" w:type="dxa"/>
          </w:tblCellMar>
        </w:tblPrEx>
        <w:trPr>
          <w:trHeight w:val="363" w:hRule="atLeast"/>
        </w:trPr>
        <w:tc>
          <w:tcPr>
            <w:tcW w:w="1155"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8月2日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10:00-11:30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在线课程</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1.国际组织与国际组织人才画像</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2.国际组织求职筒历及求职信撰写</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r>
      <w:tr>
        <w:tblPrEx>
          <w:tblCellMar>
            <w:top w:w="15" w:type="dxa"/>
            <w:left w:w="15" w:type="dxa"/>
            <w:bottom w:w="15" w:type="dxa"/>
            <w:right w:w="15" w:type="dxa"/>
          </w:tblCellMar>
        </w:tblPrEx>
        <w:trPr>
          <w:trHeight w:val="363" w:hRule="atLeast"/>
        </w:trPr>
        <w:tc>
          <w:tcPr>
            <w:tcW w:w="1155"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8月3日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10:00-11:30</w:t>
            </w:r>
          </w:p>
        </w:tc>
        <w:tc>
          <w:tcPr>
            <w:tcW w:w="1088"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理论学习</w:t>
            </w:r>
          </w:p>
        </w:tc>
        <w:tc>
          <w:tcPr>
            <w:tcW w:w="450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在线课程</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1.国际组织求职与投递申请</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2.国际组织面试指导与注意事项</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w:t>
            </w:r>
          </w:p>
        </w:tc>
      </w:tr>
      <w:tr>
        <w:tblPrEx>
          <w:tblCellMar>
            <w:top w:w="15" w:type="dxa"/>
            <w:left w:w="15" w:type="dxa"/>
            <w:bottom w:w="15" w:type="dxa"/>
            <w:right w:w="15" w:type="dxa"/>
          </w:tblCellMar>
        </w:tblPrEx>
        <w:trPr>
          <w:trHeight w:val="363" w:hRule="atLeast"/>
        </w:trPr>
        <w:tc>
          <w:tcPr>
            <w:tcW w:w="8675" w:type="dxa"/>
            <w:gridSpan w:val="5"/>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线上实习阶段</w:t>
            </w:r>
          </w:p>
        </w:tc>
      </w:tr>
      <w:tr>
        <w:tblPrEx>
          <w:tblCellMar>
            <w:top w:w="15" w:type="dxa"/>
            <w:left w:w="15" w:type="dxa"/>
            <w:bottom w:w="15" w:type="dxa"/>
            <w:right w:w="15" w:type="dxa"/>
          </w:tblCellMar>
        </w:tblPrEx>
        <w:trPr>
          <w:trHeight w:val="363"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8月5日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9:00-11:00</w:t>
            </w:r>
          </w:p>
        </w:tc>
        <w:tc>
          <w:tcPr>
            <w:tcW w:w="1088"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国际组织实习</w:t>
            </w:r>
          </w:p>
        </w:tc>
        <w:tc>
          <w:tcPr>
            <w:tcW w:w="4500"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基础任务</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了解零排放研究及倡议作为⼀个国际组织的日常工作。</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241"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107"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8月6日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9:00-11:00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实践任务</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在了解ZERI作为国际组织的日常研究和工作之后，将所学习到的知识运用在ZERI日常的工作中，体验三天“国际组织官员”的工作生活。</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8月7日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9:00-11:00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8月8日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9:00-11:00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90"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507" w:hRule="atLeast"/>
        </w:trPr>
        <w:tc>
          <w:tcPr>
            <w:tcW w:w="1155"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8月9日</w:t>
            </w: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9:00-11:00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restart"/>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创想未来</w:t>
            </w:r>
          </w:p>
          <w:p>
            <w:pPr>
              <w:spacing w:before="120" w:after="120"/>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学员们将会利用自己此前学习的知识、技能，写出一份提案。</w:t>
            </w: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r>
        <w:tblPrEx>
          <w:tblCellMar>
            <w:top w:w="15" w:type="dxa"/>
            <w:left w:w="15" w:type="dxa"/>
            <w:bottom w:w="15" w:type="dxa"/>
            <w:right w:w="15" w:type="dxa"/>
          </w:tblCellMar>
        </w:tblPrEx>
        <w:trPr>
          <w:trHeight w:val="64" w:hRule="atLeast"/>
        </w:trPr>
        <w:tc>
          <w:tcPr>
            <w:tcW w:w="1155"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1370"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14:00-16:00</w:t>
            </w:r>
          </w:p>
        </w:tc>
        <w:tc>
          <w:tcPr>
            <w:tcW w:w="1088"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4500" w:type="dxa"/>
            <w:vMerge w:val="continue"/>
            <w:tcBorders>
              <w:top w:val="single" w:color="1F2329" w:sz="6" w:space="0"/>
              <w:left w:val="single" w:color="1F2329" w:sz="6" w:space="0"/>
              <w:bottom w:val="single" w:color="1F2329" w:sz="6" w:space="0"/>
              <w:right w:val="single" w:color="1F2329" w:sz="6" w:space="0"/>
            </w:tcBorders>
            <w:shd w:val="clear" w:color="auto" w:fill="auto"/>
            <w:vAlign w:val="center"/>
          </w:tcPr>
          <w:p>
            <w:pPr>
              <w:spacing w:before="120" w:after="120"/>
              <w:jc w:val="center"/>
              <w:rPr>
                <w:rFonts w:hint="eastAsia" w:ascii="仿宋_GB2312" w:hAnsi="仿宋_GB2312" w:eastAsia="仿宋_GB2312" w:cs="仿宋_GB2312"/>
                <w:bCs/>
                <w:sz w:val="24"/>
              </w:rPr>
            </w:pPr>
          </w:p>
        </w:tc>
        <w:tc>
          <w:tcPr>
            <w:tcW w:w="562" w:type="dxa"/>
            <w:tcBorders>
              <w:top w:val="single" w:color="1F2329" w:sz="6" w:space="0"/>
              <w:left w:val="single" w:color="1F2329" w:sz="6" w:space="0"/>
              <w:bottom w:val="single" w:color="1F2329" w:sz="6" w:space="0"/>
              <w:right w:val="single" w:color="1F2329" w:sz="6" w:space="0"/>
            </w:tcBorders>
            <w:shd w:val="clear" w:color="auto" w:fill="auto"/>
            <w:noWrap/>
            <w:vAlign w:val="center"/>
          </w:tcPr>
          <w:p>
            <w:pPr>
              <w:spacing w:before="120" w:after="120"/>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2.5</w:t>
            </w:r>
          </w:p>
        </w:tc>
      </w:tr>
    </w:tbl>
    <w:p>
      <w:pPr>
        <w:spacing w:before="120" w:after="120"/>
        <w:jc w:val="center"/>
        <w:rPr>
          <w:rFonts w:hint="eastAsia" w:ascii="仿宋_GB2312" w:hAnsi="仿宋_GB2312" w:eastAsia="仿宋_GB2312" w:cs="仿宋_GB2312"/>
          <w:bCs/>
          <w:sz w:val="24"/>
        </w:rPr>
      </w:pPr>
    </w:p>
    <w:p>
      <w:pPr>
        <w:widowControl/>
        <w:rPr>
          <w:rFonts w:ascii="仿宋_GB2312" w:hAnsi="仿宋_GB2312" w:eastAsia="仿宋_GB2312" w:cs="仿宋_GB2312"/>
          <w:kern w:val="0"/>
          <w:sz w:val="32"/>
          <w:szCs w:val="32"/>
        </w:rPr>
      </w:pPr>
    </w:p>
    <w:p>
      <w:pPr>
        <w:pStyle w:val="2"/>
        <w:ind w:left="0" w:leftChars="0" w:firstLine="0" w:firstLineChars="0"/>
      </w:pPr>
    </w:p>
    <w:p>
      <w:pPr>
        <w:widowControl/>
        <w:rPr>
          <w:rFonts w:ascii="仿宋_GB2312" w:hAnsi="仿宋_GB2312" w:eastAsia="仿宋_GB2312" w:cs="仿宋_GB2312"/>
          <w:sz w:val="32"/>
          <w:szCs w:val="32"/>
        </w:rPr>
      </w:pPr>
    </w:p>
    <w:p/>
    <w:p/>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附2</w:t>
      </w:r>
    </w:p>
    <w:p>
      <w:pPr>
        <w:widowControl/>
        <w:spacing w:before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联合国训练研究所青少年国际组织实训团</w:t>
      </w:r>
    </w:p>
    <w:p>
      <w:pPr>
        <w:widowControl/>
        <w:spacing w:afterLines="100" w:line="560" w:lineRule="exact"/>
        <w:jc w:val="center"/>
        <w:rPr>
          <w:rFonts w:ascii="方正小标宋简体" w:hAnsi="方正小标宋简体" w:eastAsia="方正小标宋简体" w:cs="方正小标宋简体"/>
          <w:color w:val="0C0C0C"/>
          <w:kern w:val="0"/>
          <w:sz w:val="36"/>
          <w:szCs w:val="36"/>
        </w:rPr>
      </w:pPr>
      <w:r>
        <w:rPr>
          <w:rFonts w:hint="eastAsia" w:ascii="方正小标宋简体" w:hAnsi="方正小标宋简体" w:eastAsia="方正小标宋简体" w:cs="方正小标宋简体"/>
          <w:color w:val="0C0C0C"/>
          <w:kern w:val="0"/>
          <w:sz w:val="36"/>
          <w:szCs w:val="36"/>
        </w:rPr>
        <w:t>拟邀专家介绍</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一、Mr.Fernandez</w:t>
      </w:r>
      <w:r>
        <w:rPr>
          <w:rFonts w:hint="eastAsia" w:ascii="仿宋_GB2312" w:hAnsi="仿宋_GB2312" w:eastAsia="仿宋_GB2312" w:cs="仿宋_GB2312"/>
          <w:kern w:val="0"/>
          <w:sz w:val="32"/>
          <w:szCs w:val="32"/>
        </w:rPr>
        <w:t xml:space="preserve"> </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联合国训练研究所纽约办事处（UNITAR New York）</w:t>
      </w:r>
      <w:r>
        <w:rPr>
          <w:rFonts w:ascii="仿宋_GB2312" w:hAnsi="仿宋_GB2312" w:eastAsia="仿宋_GB2312" w:cs="仿宋_GB2312"/>
          <w:kern w:val="0"/>
          <w:sz w:val="32"/>
          <w:szCs w:val="32"/>
        </w:rPr>
        <w:t>主席、执行董事高级顾问</w:t>
      </w:r>
      <w:r>
        <w:rPr>
          <w:rFonts w:hint="eastAsia" w:ascii="仿宋_GB2312" w:hAnsi="仿宋_GB2312" w:eastAsia="仿宋_GB2312" w:cs="仿宋_GB2312"/>
          <w:kern w:val="0"/>
          <w:sz w:val="32"/>
          <w:szCs w:val="32"/>
        </w:rPr>
        <w:t>。</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曾任洪都拉斯常驻纽约联合国副代表、洪都拉斯外交部副司长、洪都拉斯驻尼加拉瓜马那瓜大使馆公使衔参赞，被授予“意大利共和国准将”称号（该称号为意大利总统授予的最高荣誉）。</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二、Mr.Angelov</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保加利亚驻纽约总领事、UNITAR外交官培训教员和学术项目管理负责人。</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曾任保加利亚常驻纽约联合国代表团常驻副代表、保加利亚外交部中东和北非司司长、剑桥大学让·莫内研究员。</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三、Ms.Gaudiosi</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联合国训练研究所纽约办事处讲师。</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曾任美国驻联合国代表，在美国国务院从事多边关系、环境政策和科学外交工作</w:t>
      </w:r>
      <w:r>
        <w:rPr>
          <w:rFonts w:ascii="仿宋_GB2312" w:hAnsi="仿宋_GB2312" w:eastAsia="仿宋_GB2312" w:cs="仿宋_GB2312"/>
          <w:kern w:val="0"/>
          <w:sz w:val="32"/>
          <w:szCs w:val="32"/>
        </w:rPr>
        <w:t>10余年</w:t>
      </w:r>
      <w:r>
        <w:rPr>
          <w:rFonts w:hint="eastAsia" w:ascii="仿宋_GB2312" w:hAnsi="仿宋_GB2312" w:eastAsia="仿宋_GB2312" w:cs="仿宋_GB2312"/>
          <w:kern w:val="0"/>
          <w:sz w:val="32"/>
          <w:szCs w:val="32"/>
        </w:rPr>
        <w:t>，负责管理美国参与的超过</w:t>
      </w:r>
      <w:r>
        <w:rPr>
          <w:rFonts w:ascii="仿宋_GB2312" w:hAnsi="仿宋_GB2312" w:eastAsia="仿宋_GB2312" w:cs="仿宋_GB2312"/>
          <w:kern w:val="0"/>
          <w:sz w:val="32"/>
          <w:szCs w:val="32"/>
        </w:rPr>
        <w:t>25个与环境和可持续发展有关的多边组织</w:t>
      </w:r>
      <w:r>
        <w:rPr>
          <w:rFonts w:hint="eastAsia" w:ascii="仿宋_GB2312" w:hAnsi="仿宋_GB2312" w:eastAsia="仿宋_GB2312" w:cs="仿宋_GB2312"/>
          <w:kern w:val="0"/>
          <w:sz w:val="32"/>
          <w:szCs w:val="32"/>
        </w:rPr>
        <w:t>的有关事务，包括联合国环境规划署、联合国防治荒漠化公约、蒙特利尔议定书、国际可再生能源机构和联合国大会第二委员会的“可持续发展集群”。拥有伦斯勒理工学院(Rensselaer Polytechnic Institute)和西北大学(Northwestern University)材料科学与工程学士和博士学位。</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四、Ms.Roesch</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国际和平研究所(IPI)和平与可持续发展项目负责人、危地马拉常驻纽约联合国代表团参赞。</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在多边组织政策领域拥有超过</w:t>
      </w:r>
      <w:r>
        <w:rPr>
          <w:rFonts w:ascii="仿宋_GB2312" w:hAnsi="仿宋_GB2312" w:eastAsia="仿宋_GB2312" w:cs="仿宋_GB2312"/>
          <w:kern w:val="0"/>
          <w:sz w:val="32"/>
          <w:szCs w:val="32"/>
        </w:rPr>
        <w:t>15年的经验，著有两本国际谈判领域著作</w:t>
      </w:r>
      <w:r>
        <w:rPr>
          <w:rFonts w:hint="eastAsia" w:ascii="仿宋_GB2312" w:hAnsi="仿宋_GB2312" w:eastAsia="仿宋_GB2312" w:cs="仿宋_GB2312"/>
          <w:kern w:val="0"/>
          <w:sz w:val="32"/>
          <w:szCs w:val="32"/>
        </w:rPr>
        <w:t>，代表发展中国家多次参与联合国多边谈判。</w:t>
      </w:r>
    </w:p>
    <w:p>
      <w:pPr>
        <w:widowControl/>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五、Ms.Thouez</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联合国训练研究所纽约办事处高级研究员、New School’s Zolberg Institute 高级研究员（负责指导全球城市项目）、巴黎政治学院的高级访问研究员（为法国城市和非洲</w:t>
      </w:r>
      <w:r>
        <w:rPr>
          <w:rFonts w:ascii="仿宋_GB2312" w:hAnsi="仿宋_GB2312" w:eastAsia="仿宋_GB2312" w:cs="仿宋_GB2312"/>
          <w:kern w:val="0"/>
          <w:sz w:val="32"/>
          <w:szCs w:val="32"/>
        </w:rPr>
        <w:t>-欧洲市长增长与团结对话提供咨询</w:t>
      </w:r>
      <w:r>
        <w:rPr>
          <w:rFonts w:hint="eastAsia" w:ascii="仿宋_GB2312" w:hAnsi="仿宋_GB2312" w:eastAsia="仿宋_GB2312" w:cs="仿宋_GB2312"/>
          <w:kern w:val="0"/>
          <w:sz w:val="32"/>
          <w:szCs w:val="32"/>
        </w:rPr>
        <w:t>）。</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曾任开放社会基金会（OSF）欢迎和包容城市部门的首任主任、国际移民问题的特别顾问，为彼得·萨瑟兰爵士（世界贸易组织首任总干事）提供咨询。</w:t>
      </w:r>
    </w:p>
    <w:p>
      <w:pPr>
        <w:widowControl/>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六、Ms.Ceres</w:t>
      </w:r>
      <w:r>
        <w:rPr>
          <w:rFonts w:hint="eastAsia" w:ascii="仿宋_GB2312" w:hAnsi="仿宋_GB2312" w:eastAsia="仿宋_GB2312" w:cs="仿宋_GB2312"/>
          <w:kern w:val="0"/>
          <w:sz w:val="32"/>
          <w:szCs w:val="32"/>
        </w:rPr>
        <w:t xml:space="preserve"> </w:t>
      </w:r>
    </w:p>
    <w:p>
      <w:pPr>
        <w:widowControl/>
        <w:numPr>
          <w:ilvl w:val="255"/>
          <w:numId w:val="0"/>
        </w:num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WorldCeres Inc.联合创始人、高级职业指导师、顾问、WorldCeres Inc.软技能课程创作者和讲师。</w:t>
      </w:r>
    </w:p>
    <w:p>
      <w:pPr>
        <w:widowControl/>
        <w:numPr>
          <w:ilvl w:val="255"/>
          <w:numId w:val="0"/>
        </w:numPr>
        <w:spacing w:line="560" w:lineRule="exact"/>
        <w:ind w:firstLine="640" w:firstLineChars="200"/>
      </w:pPr>
      <w:r>
        <w:rPr>
          <w:rFonts w:hint="eastAsia" w:ascii="仿宋_GB2312" w:hAnsi="仿宋_GB2312" w:eastAsia="仿宋_GB2312" w:cs="仿宋_GB2312"/>
          <w:kern w:val="0"/>
          <w:sz w:val="32"/>
          <w:szCs w:val="32"/>
        </w:rPr>
        <w:t>曾在纽约市议会、纽约州行政机构和美国国务院担任职位，曾任安道尔公国常驻联合国代表团幕僚长、美国驻联合国代表团的副首席礼官、英国王室成员Sarah Ferguson公爵夫人的幕僚长。</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A4661"/>
    <w:multiLevelType w:val="singleLevel"/>
    <w:tmpl w:val="189A4661"/>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MTk1MmRmYjA1NDBmYjg3Y2FjY2NkZGM3MjM0YWQifQ=="/>
  </w:docVars>
  <w:rsids>
    <w:rsidRoot w:val="5FAB4E25"/>
    <w:rsid w:val="5FAB4E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qFormat="1" w:unhideWhenUsed="0"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99"/>
    <w:pPr>
      <w:spacing w:line="560" w:lineRule="exact"/>
      <w:ind w:left="200" w:leftChars="200" w:hanging="200" w:hangingChars="200"/>
    </w:pPr>
    <w:rPr>
      <w:rFonts w:cs="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2024-01-24T07:31:00Z</dcterms:created>
  <dc:creator>Cécile苏婉</dc:creator>
  <cp:lastModifiedBy>Cécile苏婉</cp:lastModifiedBy>
  <dcterms:modified xsi:type="dcterms:W3CDTF">2024-01-24T07:37:03Z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15025863355A46DD918D66FA0432FBB4_11</vt:lpwstr>
  </property>
</Properties>
</file>