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中国药科大学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全球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药学联盟</w:t>
      </w:r>
      <w:r>
        <w:rPr>
          <w:rFonts w:hint="eastAsia" w:ascii="黑体" w:hAnsi="黑体" w:eastAsia="黑体" w:cs="黑体"/>
          <w:sz w:val="28"/>
          <w:szCs w:val="28"/>
        </w:rPr>
        <w:t>合作伙伴计划”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项目实施细则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（2024年度）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一、总则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为引导我校教师加强与</w:t>
      </w:r>
      <w:r>
        <w:rPr>
          <w:rFonts w:hint="eastAsia" w:ascii="宋体" w:hAnsi="宋体" w:cs="宋体"/>
          <w:sz w:val="24"/>
          <w:lang w:val="en-US" w:eastAsia="zh-CN"/>
        </w:rPr>
        <w:t>全球药学发展联盟成员高校等全球一流合作伙伴的</w:t>
      </w:r>
      <w:r>
        <w:rPr>
          <w:rFonts w:hint="eastAsia" w:ascii="宋体" w:hAnsi="宋体" w:cs="宋体"/>
          <w:sz w:val="24"/>
        </w:rPr>
        <w:t>实质性合作，推动建设长效的国际合作机制与平台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实现我校国际科教合作成果产出的新突破，特</w:t>
      </w:r>
      <w:r>
        <w:rPr>
          <w:rFonts w:hint="eastAsia" w:ascii="宋体" w:hAnsi="宋体" w:cs="宋体"/>
          <w:sz w:val="24"/>
          <w:lang w:val="en-US" w:eastAsia="zh-CN"/>
        </w:rPr>
        <w:t>实施2024年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 w:ascii="宋体" w:hAnsi="宋体" w:cs="宋体"/>
          <w:sz w:val="24"/>
          <w:lang w:val="en-US" w:eastAsia="zh-Hans"/>
        </w:rPr>
        <w:t>全球</w:t>
      </w:r>
      <w:r>
        <w:rPr>
          <w:rFonts w:hint="eastAsia" w:ascii="宋体" w:hAnsi="宋体" w:cs="宋体"/>
          <w:sz w:val="24"/>
          <w:lang w:val="en-US" w:eastAsia="zh-CN"/>
        </w:rPr>
        <w:t>药学发展联盟</w:t>
      </w:r>
      <w:r>
        <w:rPr>
          <w:rFonts w:hint="eastAsia" w:ascii="宋体" w:hAnsi="宋体" w:cs="宋体"/>
          <w:sz w:val="24"/>
        </w:rPr>
        <w:t>伙伴计划”</w:t>
      </w: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eastAsia" w:ascii="宋体" w:hAnsi="宋体" w:cs="宋体"/>
          <w:sz w:val="24"/>
        </w:rPr>
        <w:t>。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hint="default" w:ascii="宋体" w:hAnsi="宋体" w:cs="宋体" w:eastAsiaTheme="minorEastAsia"/>
          <w:sz w:val="24"/>
          <w:lang w:val="en-US" w:eastAsia="zh-CN"/>
        </w:rPr>
      </w:pPr>
    </w:p>
    <w:p>
      <w:pPr>
        <w:numPr>
          <w:ilvl w:val="0"/>
          <w:numId w:val="1"/>
        </w:numPr>
        <w:tabs>
          <w:tab w:val="left" w:pos="449"/>
          <w:tab w:val="left" w:pos="473"/>
          <w:tab w:val="left" w:pos="652"/>
        </w:tabs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项目类别</w:t>
      </w:r>
    </w:p>
    <w:p>
      <w:pPr>
        <w:numPr>
          <w:ilvl w:val="0"/>
          <w:numId w:val="2"/>
        </w:numPr>
        <w:tabs>
          <w:tab w:val="left" w:pos="449"/>
          <w:tab w:val="left" w:pos="473"/>
          <w:tab w:val="left" w:pos="652"/>
        </w:tabs>
        <w:spacing w:line="360" w:lineRule="auto"/>
        <w:ind w:left="480" w:leftChars="0"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欧洲国家合作专项 </w:t>
      </w:r>
    </w:p>
    <w:p>
      <w:pPr>
        <w:numPr>
          <w:ilvl w:val="0"/>
          <w:numId w:val="0"/>
        </w:numPr>
        <w:tabs>
          <w:tab w:val="left" w:pos="449"/>
          <w:tab w:val="left" w:pos="473"/>
          <w:tab w:val="left" w:pos="652"/>
        </w:tabs>
        <w:spacing w:line="360" w:lineRule="auto"/>
        <w:ind w:left="480" w:left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为加强与欧洲重点国家（仅限于英国、法国、德国、比利时、瑞典、意大</w:t>
      </w:r>
    </w:p>
    <w:p>
      <w:pPr>
        <w:numPr>
          <w:ilvl w:val="0"/>
          <w:numId w:val="0"/>
        </w:numPr>
        <w:tabs>
          <w:tab w:val="left" w:pos="449"/>
          <w:tab w:val="left" w:pos="473"/>
          <w:tab w:val="left" w:pos="652"/>
        </w:tabs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利、俄罗斯）高校合作，在共建省部级国际联合实验室、高层次人才联合培养等方面取得重点突破，特设重点国家专项合作项目，每项资助15万。</w:t>
      </w:r>
    </w:p>
    <w:p>
      <w:pPr>
        <w:numPr>
          <w:ilvl w:val="0"/>
          <w:numId w:val="2"/>
        </w:numPr>
        <w:tabs>
          <w:tab w:val="left" w:pos="449"/>
          <w:tab w:val="left" w:pos="473"/>
          <w:tab w:val="left" w:pos="652"/>
        </w:tabs>
        <w:spacing w:line="360" w:lineRule="auto"/>
        <w:ind w:left="480" w:leftChars="0" w:firstLine="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一般项目</w:t>
      </w:r>
    </w:p>
    <w:p>
      <w:pPr>
        <w:numPr>
          <w:ilvl w:val="0"/>
          <w:numId w:val="0"/>
        </w:numPr>
        <w:tabs>
          <w:tab w:val="left" w:pos="449"/>
          <w:tab w:val="left" w:pos="473"/>
          <w:tab w:val="left" w:pos="652"/>
        </w:tabs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一般项目合作不限国别或区域，</w:t>
      </w:r>
      <w:r>
        <w:rPr>
          <w:rFonts w:hint="eastAsia" w:ascii="宋体" w:hAnsi="宋体" w:cs="宋体"/>
          <w:sz w:val="24"/>
        </w:rPr>
        <w:t>自然科学类项目每项资助</w:t>
      </w:r>
      <w:r>
        <w:rPr>
          <w:rFonts w:hint="eastAsia" w:ascii="宋体" w:hAnsi="宋体" w:cs="宋体"/>
          <w:sz w:val="24"/>
          <w:lang w:val="en-US" w:eastAsia="zh-CN"/>
        </w:rPr>
        <w:t>8-10</w:t>
      </w:r>
      <w:r>
        <w:rPr>
          <w:rFonts w:hint="eastAsia" w:ascii="宋体" w:hAnsi="宋体" w:cs="宋体"/>
          <w:sz w:val="24"/>
        </w:rPr>
        <w:t>万元，人文社科类项目每项资助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万元。</w:t>
      </w:r>
    </w:p>
    <w:p>
      <w:pPr>
        <w:ind w:left="345"/>
        <w:rPr>
          <w:rFonts w:ascii="宋体" w:hAnsi="宋体" w:cs="宋体"/>
          <w:b/>
          <w:bCs/>
          <w:sz w:val="24"/>
        </w:rPr>
      </w:pP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</w:rPr>
        <w:t>、申报条件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1.申请人须为我校全职专任教师。</w:t>
      </w:r>
      <w:r>
        <w:rPr>
          <w:rFonts w:hint="eastAsia" w:ascii="宋体" w:hAnsi="宋体" w:cs="宋体"/>
          <w:sz w:val="24"/>
          <w:lang w:val="en-US" w:eastAsia="zh-CN"/>
        </w:rPr>
        <w:t>一般项目仅限于未获得过2023年“全球合作计划”立项资助的教师</w:t>
      </w:r>
      <w:r>
        <w:rPr>
          <w:rFonts w:hint="eastAsia" w:ascii="宋体" w:hAnsi="宋体" w:cs="宋体"/>
          <w:sz w:val="24"/>
        </w:rPr>
        <w:t>。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申报</w:t>
      </w:r>
      <w:r>
        <w:rPr>
          <w:rFonts w:hint="eastAsia" w:ascii="宋体" w:hAnsi="宋体" w:cs="宋体"/>
          <w:sz w:val="24"/>
        </w:rPr>
        <w:t>项目应聚焦科研合作与高层次人才培养，坚持需求导向、问题导向，体现</w:t>
      </w:r>
      <w:r>
        <w:rPr>
          <w:rFonts w:hint="eastAsia" w:ascii="宋体" w:hAnsi="宋体" w:cs="宋体"/>
          <w:sz w:val="24"/>
          <w:lang w:val="en-US" w:eastAsia="zh-CN"/>
        </w:rPr>
        <w:t>我校“大药学”</w:t>
      </w:r>
      <w:r>
        <w:rPr>
          <w:rFonts w:hint="eastAsia" w:ascii="宋体" w:hAnsi="宋体" w:cs="宋体"/>
          <w:sz w:val="24"/>
        </w:rPr>
        <w:t>学科优势与特色，能够对</w:t>
      </w:r>
      <w:r>
        <w:rPr>
          <w:rFonts w:hint="eastAsia" w:ascii="宋体" w:hAnsi="宋体" w:cs="宋体"/>
          <w:sz w:val="24"/>
          <w:lang w:val="en-US" w:eastAsia="zh-CN"/>
        </w:rPr>
        <w:t>专业领域的</w:t>
      </w:r>
      <w:r>
        <w:rPr>
          <w:rFonts w:hint="eastAsia" w:ascii="宋体" w:hAnsi="宋体" w:cs="宋体"/>
          <w:sz w:val="24"/>
        </w:rPr>
        <w:t>国际化发展起到推动示范作用。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3.项目申报的</w:t>
      </w:r>
      <w:r>
        <w:rPr>
          <w:rFonts w:hint="eastAsia" w:ascii="宋体" w:hAnsi="宋体" w:cs="宋体"/>
          <w:sz w:val="24"/>
          <w:lang w:val="en-US" w:eastAsia="zh-Hans"/>
        </w:rPr>
        <w:t>境外</w:t>
      </w:r>
      <w:r>
        <w:rPr>
          <w:rFonts w:hint="eastAsia" w:ascii="宋体" w:hAnsi="宋体" w:cs="宋体"/>
          <w:sz w:val="24"/>
        </w:rPr>
        <w:t>合作机构应为世界</w:t>
      </w:r>
      <w:r>
        <w:rPr>
          <w:rFonts w:hint="eastAsia" w:ascii="宋体" w:hAnsi="宋体" w:cs="宋体"/>
          <w:b/>
          <w:bCs/>
          <w:sz w:val="24"/>
        </w:rPr>
        <w:t>一</w:t>
      </w:r>
      <w:r>
        <w:rPr>
          <w:rFonts w:hint="eastAsia" w:ascii="宋体" w:hAnsi="宋体" w:cs="宋体"/>
          <w:sz w:val="24"/>
        </w:rPr>
        <w:t>流高等学校、科研院所、实验室，或在合作领域具有</w:t>
      </w:r>
      <w:r>
        <w:rPr>
          <w:rFonts w:hint="eastAsia" w:ascii="宋体" w:hAnsi="宋体" w:cs="宋体"/>
          <w:sz w:val="24"/>
          <w:lang w:val="en-US" w:eastAsia="zh-CN"/>
        </w:rPr>
        <w:t>领先</w:t>
      </w:r>
      <w:r>
        <w:rPr>
          <w:rFonts w:hint="eastAsia" w:ascii="宋体" w:hAnsi="宋体" w:cs="宋体"/>
          <w:sz w:val="24"/>
        </w:rPr>
        <w:t>优势的单位</w:t>
      </w:r>
      <w:r>
        <w:rPr>
          <w:rFonts w:hint="default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鼓励联合境外多方开展合作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</w:rPr>
        <w:t>申报时合作方之间原则上应签有与项目相关的合作协议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且已制定清晰的</w:t>
      </w:r>
      <w:r>
        <w:rPr>
          <w:rFonts w:hint="eastAsia" w:ascii="宋体" w:hAnsi="宋体" w:cs="宋体"/>
          <w:sz w:val="24"/>
        </w:rPr>
        <w:t>合作目标与明确的合作推进计划。</w:t>
      </w:r>
      <w:r>
        <w:rPr>
          <w:rFonts w:hint="eastAsia" w:ascii="宋体" w:hAnsi="宋体" w:cs="宋体"/>
          <w:sz w:val="24"/>
          <w:lang w:val="en-US" w:eastAsia="zh-Hans"/>
        </w:rPr>
        <w:t>与港澳台高校或机构合作的原则上须同时联合国外合作方</w:t>
      </w:r>
      <w:r>
        <w:rPr>
          <w:rFonts w:hint="default" w:ascii="宋体" w:hAnsi="宋体" w:cs="宋体"/>
          <w:sz w:val="24"/>
          <w:lang w:eastAsia="zh-Hans"/>
        </w:rPr>
        <w:t>。</w:t>
      </w:r>
      <w:r>
        <w:rPr>
          <w:rFonts w:hint="eastAsia" w:ascii="宋体" w:hAnsi="宋体" w:cs="宋体"/>
          <w:sz w:val="24"/>
          <w:lang w:val="en-US" w:eastAsia="zh-CN"/>
        </w:rPr>
        <w:t>同等条件下，一般项目优先支持与全球药学发展联盟的成员伙伴高校之间的合作。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4.申请欧洲国家合作专项的须已与外方签署院部或校级层次的协议，且在科研合作、人才培养等各方面已有一定的成果积累。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449"/>
          <w:tab w:val="left" w:pos="473"/>
          <w:tab w:val="left" w:pos="652"/>
        </w:tabs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四、评审程序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该专项遵循“公开、公平、公正、择优”的原则，采取“个人申请、院系把关、专家评审、择优录取”的方式进行，杜绝弄虚作假。项目评审流程如下：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1.3月31日前提交申请；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2.4月3日前国际处对项目申请进行初审；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3.4月10日前组织校外评审专家进行项目评审答辩并公示结果。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2" w:firstLineChars="200"/>
        <w:rPr>
          <w:rFonts w:hint="default" w:ascii="宋体" w:hAnsi="宋体" w:cs="宋体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五、经费使用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项目资金主要用于支付在项目执行过程中发生的、与项目相关的各项费用，开支范围包括： 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</w:t>
      </w:r>
      <w:r>
        <w:rPr>
          <w:rFonts w:hint="eastAsia" w:ascii="宋体" w:hAnsi="宋体" w:eastAsia="宋体" w:cs="宋体"/>
          <w:sz w:val="24"/>
          <w:lang w:val="en-US" w:eastAsia="zh-CN"/>
        </w:rPr>
        <w:t>国内</w:t>
      </w:r>
      <w:r>
        <w:rPr>
          <w:rFonts w:ascii="宋体" w:hAnsi="宋体" w:eastAsia="宋体" w:cs="宋体"/>
          <w:sz w:val="24"/>
        </w:rPr>
        <w:t>差旅费：是指在项目执行过程中开展业务调研、学术交流等所发生的</w:t>
      </w:r>
      <w:r>
        <w:rPr>
          <w:rFonts w:hint="eastAsia" w:ascii="宋体" w:hAnsi="宋体" w:eastAsia="宋体" w:cs="宋体"/>
          <w:sz w:val="24"/>
          <w:lang w:val="en-US" w:eastAsia="zh-CN"/>
        </w:rPr>
        <w:t>国内</w:t>
      </w:r>
      <w:r>
        <w:rPr>
          <w:rFonts w:ascii="宋体" w:hAnsi="宋体" w:eastAsia="宋体" w:cs="宋体"/>
          <w:sz w:val="24"/>
        </w:rPr>
        <w:t>差旅费。差旅费开支标准</w:t>
      </w:r>
      <w:r>
        <w:rPr>
          <w:rFonts w:hint="eastAsia" w:ascii="宋体" w:hAnsi="宋体" w:eastAsia="宋体" w:cs="宋体"/>
          <w:sz w:val="24"/>
          <w:lang w:val="en-US" w:eastAsia="zh-CN"/>
        </w:rPr>
        <w:t>按</w:t>
      </w:r>
      <w:r>
        <w:rPr>
          <w:rFonts w:hint="eastAsia" w:ascii="宋体" w:hAnsi="宋体" w:eastAsia="宋体" w:cs="宋体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lang w:val="en-US" w:eastAsia="zh-CN"/>
        </w:rPr>
        <w:instrText xml:space="preserve"> HYPERLINK "https://jcc.cpu.edu.cn/05/a9/c13089a198057/page.psp" </w:instrText>
      </w:r>
      <w:r>
        <w:rPr>
          <w:rFonts w:hint="eastAsia" w:ascii="宋体" w:hAnsi="宋体" w:eastAsia="宋体" w:cs="宋体"/>
          <w:sz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《中国药科大学差旅费管理办法》（</w:t>
      </w:r>
      <w:r>
        <w:rPr>
          <w:rStyle w:val="4"/>
          <w:rFonts w:ascii="宋体" w:hAnsi="宋体" w:eastAsia="宋体" w:cs="宋体"/>
          <w:sz w:val="24"/>
        </w:rPr>
        <w:t>2024 药大财函〔2024〕25号</w:t>
      </w:r>
      <w:r>
        <w:rPr>
          <w:rStyle w:val="4"/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lang w:val="en-US" w:eastAsia="zh-CN"/>
        </w:rPr>
        <w:t>规定执行</w:t>
      </w:r>
      <w:r>
        <w:rPr>
          <w:rFonts w:ascii="宋体" w:hAnsi="宋体" w:eastAsia="宋体" w:cs="宋体"/>
          <w:sz w:val="24"/>
        </w:rPr>
        <w:t xml:space="preserve">。 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）会议费：是指在项目执行过程中为了组织开展学术研讨、咨询以及协调项目研究工作等活动发生的会议费用。会议费支出标准应按</w:t>
      </w:r>
      <w:r>
        <w:rPr>
          <w:rFonts w:hint="eastAsia" w:ascii="宋体" w:hAnsi="宋体" w:eastAsia="宋体" w:cs="宋体"/>
          <w:sz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lang w:val="en-US" w:eastAsia="zh-CN"/>
        </w:rPr>
        <w:t>中国药科大学会议费管理办法</w:t>
      </w:r>
      <w:r>
        <w:rPr>
          <w:rFonts w:hint="eastAsia" w:ascii="宋体" w:hAnsi="宋体" w:eastAsia="宋体" w:cs="宋体"/>
          <w:sz w:val="24"/>
          <w:lang w:eastAsia="zh-CN"/>
        </w:rPr>
        <w:t>》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fldChar w:fldCharType="begin"/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instrText xml:space="preserve"> HYPERLINK "https://jcc.cpu.edu.cn/f7/4b/c13089a194379/page.psp" </w:instrTex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（</w:t>
      </w:r>
      <w:r>
        <w:rPr>
          <w:rStyle w:val="4"/>
          <w:rFonts w:ascii="宋体" w:hAnsi="宋体" w:eastAsia="宋体" w:cs="宋体"/>
          <w:sz w:val="24"/>
        </w:rPr>
        <w:t>20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16</w:t>
      </w:r>
      <w:r>
        <w:rPr>
          <w:rStyle w:val="4"/>
          <w:rFonts w:ascii="宋体" w:hAnsi="宋体" w:eastAsia="宋体" w:cs="宋体"/>
          <w:sz w:val="24"/>
        </w:rPr>
        <w:t xml:space="preserve"> 药大财函〔20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16</w:t>
      </w:r>
      <w:r>
        <w:rPr>
          <w:rStyle w:val="4"/>
          <w:rFonts w:ascii="宋体" w:hAnsi="宋体" w:eastAsia="宋体" w:cs="宋体"/>
          <w:sz w:val="24"/>
        </w:rPr>
        <w:t>〕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221</w:t>
      </w:r>
      <w:r>
        <w:rPr>
          <w:rStyle w:val="4"/>
          <w:rFonts w:ascii="宋体" w:hAnsi="宋体" w:eastAsia="宋体" w:cs="宋体"/>
          <w:sz w:val="24"/>
        </w:rPr>
        <w:t>号</w:t>
      </w:r>
      <w:r>
        <w:rPr>
          <w:rStyle w:val="4"/>
          <w:rFonts w:hint="eastAsia" w:ascii="宋体" w:hAnsi="宋体" w:eastAsia="宋体" w:cs="宋体"/>
          <w:sz w:val="24"/>
          <w:lang w:eastAsia="zh-CN"/>
        </w:rPr>
        <w:t>）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lang w:val="en-US" w:eastAsia="zh-CN"/>
        </w:rPr>
        <w:t>文件执行。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  <w:lang w:val="en-US" w:eastAsia="zh-CN"/>
        </w:rPr>
        <w:t>国际合作与交流</w:t>
      </w:r>
      <w:r>
        <w:rPr>
          <w:rFonts w:ascii="宋体" w:hAnsi="宋体" w:eastAsia="宋体" w:cs="宋体"/>
          <w:sz w:val="24"/>
        </w:rPr>
        <w:t>费：是指在项目执行过程中项目组成员</w:t>
      </w:r>
      <w:r>
        <w:rPr>
          <w:rFonts w:hint="eastAsia" w:ascii="宋体" w:hAnsi="宋体" w:eastAsia="宋体" w:cs="宋体"/>
          <w:sz w:val="24"/>
          <w:lang w:val="en-US" w:eastAsia="zh-CN"/>
        </w:rPr>
        <w:t>因公临时出国（境）</w:t>
      </w:r>
      <w:r>
        <w:rPr>
          <w:rFonts w:ascii="宋体" w:hAnsi="宋体" w:eastAsia="宋体" w:cs="宋体"/>
          <w:sz w:val="24"/>
        </w:rPr>
        <w:t>、外国专家来华的费用。项目资金不能用于支付学生、学者赴</w:t>
      </w:r>
      <w:r>
        <w:rPr>
          <w:rFonts w:hint="eastAsia" w:ascii="宋体" w:hAnsi="宋体" w:eastAsia="宋体" w:cs="宋体"/>
          <w:sz w:val="24"/>
          <w:lang w:val="en-US" w:eastAsia="zh-Hans"/>
        </w:rPr>
        <w:t>境</w:t>
      </w:r>
      <w:r>
        <w:rPr>
          <w:rFonts w:ascii="宋体" w:hAnsi="宋体" w:eastAsia="宋体" w:cs="宋体"/>
          <w:sz w:val="24"/>
        </w:rPr>
        <w:t>外交流的学费和奖学金生活费。</w:t>
      </w:r>
      <w:r>
        <w:rPr>
          <w:rFonts w:hint="eastAsia" w:ascii="宋体" w:hAnsi="宋体" w:eastAsia="宋体" w:cs="宋体"/>
          <w:sz w:val="24"/>
          <w:lang w:val="en-US" w:eastAsia="zh-CN"/>
        </w:rPr>
        <w:t>费用按照</w:t>
      </w:r>
      <w:r>
        <w:rPr>
          <w:rFonts w:hint="eastAsia" w:ascii="宋体" w:hAnsi="宋体" w:eastAsia="宋体" w:cs="宋体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lang w:val="en-US" w:eastAsia="zh-CN"/>
        </w:rPr>
        <w:instrText xml:space="preserve"> HYPERLINK "https://jcc.cpu.edu.cn/f7/4a/c13089a194378/page.psp" </w:instrText>
      </w:r>
      <w:r>
        <w:rPr>
          <w:rFonts w:hint="eastAsia" w:ascii="宋体" w:hAnsi="宋体" w:eastAsia="宋体" w:cs="宋体"/>
          <w:sz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《中国药科大学因公临时出国项目及经费管理办法》（</w:t>
      </w:r>
      <w:r>
        <w:rPr>
          <w:rStyle w:val="4"/>
          <w:rFonts w:hint="default" w:ascii="宋体" w:hAnsi="宋体" w:eastAsia="宋体" w:cs="宋体"/>
          <w:sz w:val="24"/>
          <w:lang w:val="en-US" w:eastAsia="zh-CN"/>
        </w:rPr>
        <w:t>药大财〔2015〕104号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lang w:val="en-US" w:eastAsia="zh-CN"/>
        </w:rPr>
        <w:t>与《国家外国专家项目和经费管理办法》(国科发专</w:t>
      </w:r>
      <w:r>
        <w:rPr>
          <w:rFonts w:hint="default" w:ascii="宋体" w:hAnsi="宋体" w:eastAsia="宋体" w:cs="宋体"/>
          <w:sz w:val="24"/>
          <w:lang w:val="en-US" w:eastAsia="zh-CN"/>
        </w:rPr>
        <w:t>〔20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default" w:ascii="宋体" w:hAnsi="宋体" w:eastAsia="宋体" w:cs="宋体"/>
          <w:sz w:val="24"/>
          <w:lang w:val="en-US" w:eastAsia="zh-CN"/>
        </w:rPr>
        <w:t>〕</w:t>
      </w:r>
      <w:r>
        <w:rPr>
          <w:rFonts w:hint="eastAsia" w:ascii="宋体" w:hAnsi="宋体" w:eastAsia="宋体" w:cs="宋体"/>
          <w:sz w:val="24"/>
          <w:lang w:val="en-US" w:eastAsia="zh-CN"/>
        </w:rPr>
        <w:t>49</w:t>
      </w:r>
      <w:r>
        <w:rPr>
          <w:rFonts w:hint="default" w:ascii="宋体" w:hAnsi="宋体" w:eastAsia="宋体" w:cs="宋体"/>
          <w:sz w:val="24"/>
          <w:lang w:val="en-US" w:eastAsia="zh-CN"/>
        </w:rPr>
        <w:t>号</w:t>
      </w:r>
      <w:r>
        <w:rPr>
          <w:rFonts w:hint="eastAsia" w:ascii="宋体" w:hAnsi="宋体" w:eastAsia="宋体" w:cs="宋体"/>
          <w:sz w:val="24"/>
          <w:lang w:val="en-US" w:eastAsia="zh-CN"/>
        </w:rPr>
        <w:t>，文件详询国际处)执行。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4</w:t>
      </w:r>
      <w:r>
        <w:rPr>
          <w:rFonts w:ascii="宋体" w:hAnsi="宋体" w:eastAsia="宋体" w:cs="宋体"/>
          <w:sz w:val="24"/>
        </w:rPr>
        <w:t xml:space="preserve">）出版/文献/信息传播/知识产权事务费：是指在项目执行过程中，需要支付的出版费、资料费、专用软件购买费、 文献检索费、专业通信费、专利申请及其他知识产权事务等费用。 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5</w:t>
      </w:r>
      <w:r>
        <w:rPr>
          <w:rFonts w:ascii="宋体" w:hAnsi="宋体" w:eastAsia="宋体" w:cs="宋体"/>
          <w:sz w:val="24"/>
        </w:rPr>
        <w:t>）专家咨询费：</w:t>
      </w:r>
      <w:r>
        <w:rPr>
          <w:rFonts w:hint="eastAsia" w:ascii="宋体" w:hAnsi="宋体" w:eastAsia="宋体" w:cs="宋体"/>
          <w:sz w:val="24"/>
        </w:rPr>
        <w:t>指因</w:t>
      </w:r>
      <w:r>
        <w:rPr>
          <w:rFonts w:hint="eastAsia" w:ascii="宋体" w:hAnsi="宋体" w:eastAsia="宋体" w:cs="宋体"/>
          <w:sz w:val="24"/>
          <w:lang w:val="en-US" w:eastAsia="zh-CN"/>
        </w:rPr>
        <w:t>项目相关工作</w:t>
      </w:r>
      <w:r>
        <w:rPr>
          <w:rFonts w:hint="eastAsia" w:ascii="宋体" w:hAnsi="宋体" w:eastAsia="宋体" w:cs="宋体"/>
          <w:sz w:val="24"/>
        </w:rPr>
        <w:t>需要，邀请校内外专家开展咨询活动发放的酬金</w:t>
      </w:r>
      <w:r>
        <w:rPr>
          <w:rFonts w:ascii="宋体" w:hAnsi="宋体" w:eastAsia="宋体" w:cs="宋体"/>
          <w:sz w:val="24"/>
        </w:rPr>
        <w:t>，咨询费标准按国家有关规定执行</w:t>
      </w:r>
      <w:r>
        <w:rPr>
          <w:rFonts w:hint="eastAsia" w:ascii="宋体" w:hAnsi="宋体" w:eastAsia="宋体" w:cs="宋体"/>
          <w:sz w:val="24"/>
        </w:rPr>
        <w:t>《中央财政科研项目专家咨询费管理办法》（财科教〔2017〕</w:t>
      </w:r>
      <w:bookmarkStart w:id="1" w:name="_GoBack"/>
      <w:bookmarkEnd w:id="1"/>
      <w:r>
        <w:rPr>
          <w:rFonts w:hint="eastAsia" w:ascii="宋体" w:hAnsi="宋体" w:eastAsia="宋体" w:cs="宋体"/>
          <w:sz w:val="24"/>
        </w:rPr>
        <w:t>128号）</w:t>
      </w:r>
      <w:r>
        <w:rPr>
          <w:rFonts w:ascii="宋体" w:hAnsi="宋体" w:eastAsia="宋体" w:cs="宋体"/>
          <w:sz w:val="24"/>
        </w:rPr>
        <w:t xml:space="preserve">。 </w:t>
      </w:r>
    </w:p>
    <w:p>
      <w:pPr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六、</w:t>
      </w:r>
      <w:r>
        <w:rPr>
          <w:rFonts w:hint="eastAsia" w:ascii="宋体" w:hAnsi="宋体" w:cs="宋体"/>
          <w:b/>
          <w:bCs/>
          <w:sz w:val="24"/>
        </w:rPr>
        <w:t>项目管理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1.获批项目执行期为二年，由项目单位承担获批项目执行和管理的主体责任。</w:t>
      </w:r>
    </w:p>
    <w:p>
      <w:p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2024年度专项的结题时间为2025年12月。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2.项目实施过程中原则上不得擅自变更项目负责人、合作内容、合作机构。</w:t>
      </w:r>
    </w:p>
    <w:p>
      <w:pPr>
        <w:spacing w:line="360" w:lineRule="auto"/>
        <w:ind w:firstLine="480" w:firstLineChars="200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3.项目实行中期考核制度，并根据项目执行情况</w:t>
      </w:r>
      <w:r>
        <w:rPr>
          <w:rFonts w:hint="eastAsia" w:ascii="宋体" w:hAnsi="宋体" w:cs="宋体"/>
          <w:sz w:val="24"/>
          <w:lang w:val="en-US" w:eastAsia="zh-CN"/>
        </w:rPr>
        <w:t>进行资助的动态调整</w:t>
      </w:r>
      <w:r>
        <w:rPr>
          <w:rFonts w:hint="eastAsia" w:ascii="宋体" w:hAnsi="宋体" w:cs="宋体"/>
          <w:sz w:val="24"/>
        </w:rPr>
        <w:t>。进展未达预期的项目将停止资助。</w:t>
      </w:r>
      <w:r>
        <w:rPr>
          <w:rFonts w:hint="eastAsia" w:ascii="宋体" w:hAnsi="宋体" w:cs="宋体"/>
          <w:sz w:val="24"/>
          <w:lang w:val="en-US" w:eastAsia="zh-CN"/>
        </w:rPr>
        <w:t>2024年度专项的中期考核时间为2025年3月。</w:t>
      </w:r>
    </w:p>
    <w:p>
      <w:pPr>
        <w:tabs>
          <w:tab w:val="left" w:pos="449"/>
          <w:tab w:val="left" w:pos="473"/>
          <w:tab w:val="left" w:pos="652"/>
        </w:tabs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项目执行期满后，项目负责人需撰写总结报告（包括目标完成情况，资金使用情况，科研合作与人才培养情况等），由国际交流合作处组织专家进行评审，项目总体考核结果将作为后续项目审批的重要参考依据。项目考核参考指标建议如下：</w:t>
      </w:r>
    </w:p>
    <w:tbl>
      <w:tblPr>
        <w:tblStyle w:val="2"/>
        <w:tblW w:w="799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5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599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rPr>
                <w:rFonts w:ascii="黑体" w:hAnsi="黑体" w:eastAsia="黑体" w:cs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  <w:szCs w:val="22"/>
              </w:rPr>
              <w:t>1.国际化人才培养</w:t>
            </w:r>
          </w:p>
        </w:tc>
        <w:tc>
          <w:tcPr>
            <w:tcW w:w="599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1.1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我校学生依托该项目赴合作机构短期交流人次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rPr>
                <w:rFonts w:ascii="黑体" w:hAnsi="黑体" w:eastAsia="黑体" w:cs="黑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依托项目实施联合培养的学生人次（3个月及以上的学生访问/科研实习、毕业实习或研究生联合培养等）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ascii="黑体" w:hAnsi="黑体" w:eastAsia="黑体" w:cs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  <w:szCs w:val="22"/>
              </w:rPr>
              <w:t>2. 国际科研合作</w:t>
            </w:r>
          </w:p>
        </w:tc>
        <w:tc>
          <w:tcPr>
            <w:tcW w:w="599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2.1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高水平国际合作发表</w:t>
            </w:r>
            <w:bookmarkStart w:id="0" w:name="_Hlk533108475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数量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黑体" w:hAnsi="黑体" w:eastAsia="黑体" w:cs="黑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2.2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与合作机构联合举办（线上）学术研讨会情况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黑体" w:hAnsi="黑体" w:eastAsia="黑体" w:cs="黑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2.3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申报联合科研项目情况（省、部级各类国际科研合作项目、合作与交流项目，以及国外政府发起的科研合作项目等）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黑体" w:hAnsi="黑体" w:eastAsia="黑体" w:cs="黑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  <w:szCs w:val="22"/>
              </w:rPr>
              <w:t>3.国际化师资建设</w:t>
            </w:r>
          </w:p>
        </w:tc>
        <w:tc>
          <w:tcPr>
            <w:tcW w:w="5997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3.1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聘请合作机构学者担任我校外专情况、外国学者在我校开设（线上）课程或学术报告情况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3.2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项目成员赴合作机构交流人次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  <w:szCs w:val="22"/>
              </w:rPr>
              <w:t>4.国际合作机制与平台建设</w:t>
            </w:r>
          </w:p>
        </w:tc>
        <w:tc>
          <w:tcPr>
            <w:tcW w:w="599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4.1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与合作方签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署院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及以上层次人才培养或科研合作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协议情况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599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与合作机构共建院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、校级、省部级、国家级联合实验室/研究中心等国际科技合作基地情况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741E3"/>
    <w:multiLevelType w:val="singleLevel"/>
    <w:tmpl w:val="B5A741E3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5F986544"/>
    <w:multiLevelType w:val="singleLevel"/>
    <w:tmpl w:val="5F9865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YzNiMDRkN2JhY2Y3ZGI5NGNjNmVhMzIxZGE2MGMifQ=="/>
  </w:docVars>
  <w:rsids>
    <w:rsidRoot w:val="6A5A1D87"/>
    <w:rsid w:val="03015F78"/>
    <w:rsid w:val="064410B8"/>
    <w:rsid w:val="08422A5C"/>
    <w:rsid w:val="0C6A3D19"/>
    <w:rsid w:val="239D677C"/>
    <w:rsid w:val="27475541"/>
    <w:rsid w:val="27D8088F"/>
    <w:rsid w:val="32B779E0"/>
    <w:rsid w:val="34BD6B96"/>
    <w:rsid w:val="37542E69"/>
    <w:rsid w:val="3C5B6995"/>
    <w:rsid w:val="435C378C"/>
    <w:rsid w:val="4DCD5EF0"/>
    <w:rsid w:val="50B52C6C"/>
    <w:rsid w:val="526A2C58"/>
    <w:rsid w:val="56E271D6"/>
    <w:rsid w:val="5E3B0C54"/>
    <w:rsid w:val="643373F5"/>
    <w:rsid w:val="671250CD"/>
    <w:rsid w:val="67206C39"/>
    <w:rsid w:val="695B0E0B"/>
    <w:rsid w:val="6A5A1D87"/>
    <w:rsid w:val="6D543460"/>
    <w:rsid w:val="70967F6C"/>
    <w:rsid w:val="770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800080"/>
      <w:u w:val="single"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1504</Words>
  <Characters>1529</Characters>
  <Lines>0</Lines>
  <Paragraphs>0</Paragraphs>
  <TotalTime>146</TotalTime>
  <ScaleCrop>false</ScaleCrop>
  <LinksUpToDate>false</LinksUpToDate>
  <CharactersWithSpaces>1542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2023-03-07T07:37:00Z</dcterms:created>
  <dc:creator>麗娜Lena</dc:creator>
  <cp:lastModifiedBy>麗娜Lena</cp:lastModifiedBy>
  <dcterms:modified xsi:type="dcterms:W3CDTF">2024-03-19T02:41:46Z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73DA983545994BD3A2BD3131486DFA1B_13</vt:lpwstr>
  </property>
</Properties>
</file>