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135BFD9"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A50748">
        <w:rPr>
          <w:rFonts w:asciiTheme="minorHAnsi" w:hAnsiTheme="minorHAnsi" w:cs="Arial"/>
          <w:lang w:val="en-GB"/>
        </w:rPr>
        <w:t xml:space="preserve">Talent Development </w:t>
      </w:r>
      <w:r w:rsidR="00051468">
        <w:rPr>
          <w:rFonts w:asciiTheme="minorHAnsi" w:hAnsiTheme="minorHAnsi" w:cs="Arial"/>
          <w:lang w:val="en-GB"/>
        </w:rPr>
        <w:t xml:space="preserve">Services </w:t>
      </w:r>
      <w:r w:rsidR="00DE5E3F">
        <w:rPr>
          <w:rFonts w:asciiTheme="minorHAnsi" w:hAnsiTheme="minorHAnsi" w:cs="Arial" w:hint="eastAsia"/>
          <w:lang w:val="en-GB" w:eastAsia="zh-CN"/>
        </w:rPr>
        <w:t>I</w:t>
      </w:r>
      <w:r w:rsidR="00DE5E3F">
        <w:rPr>
          <w:rFonts w:asciiTheme="minorHAnsi" w:hAnsiTheme="minorHAnsi" w:cs="Arial"/>
          <w:lang w:val="en-GB"/>
        </w:rPr>
        <w:t>ntern</w:t>
      </w:r>
    </w:p>
    <w:p w14:paraId="6A233EF0" w14:textId="2C7A5067"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D67339">
        <w:rPr>
          <w:rFonts w:asciiTheme="minorHAnsi" w:hAnsiTheme="minorHAnsi" w:cs="Arial"/>
          <w:lang w:val="en-GB"/>
        </w:rPr>
        <w:t>Talent Development</w:t>
      </w:r>
    </w:p>
    <w:p w14:paraId="67D59395" w14:textId="52298B59"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50748">
        <w:rPr>
          <w:rFonts w:asciiTheme="minorHAnsi" w:hAnsiTheme="minorHAnsi" w:cs="Arial"/>
          <w:lang w:val="en-GB"/>
        </w:rPr>
        <w:t>BMS/GSSC/HR/Talent development Services</w:t>
      </w:r>
    </w:p>
    <w:p w14:paraId="6D413E5E" w14:textId="194A6C2B"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A50748">
        <w:rPr>
          <w:rFonts w:asciiTheme="minorHAnsi" w:hAnsiTheme="minorHAnsi" w:cs="Arial"/>
        </w:rPr>
        <w:t>Denmark, Copenhagen</w:t>
      </w:r>
    </w:p>
    <w:p w14:paraId="078B9725" w14:textId="062DA3B3"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50748">
        <w:rPr>
          <w:rFonts w:asciiTheme="minorHAnsi" w:hAnsiTheme="minorHAnsi" w:cs="Arial"/>
          <w:lang w:val="en-GB"/>
        </w:rPr>
        <w:t>6-</w:t>
      </w:r>
      <w:r w:rsidR="0029332A">
        <w:rPr>
          <w:rFonts w:asciiTheme="minorHAnsi" w:hAnsiTheme="minorHAnsi" w:cs="Arial"/>
          <w:lang w:val="en-GB"/>
        </w:rPr>
        <w:t>9</w:t>
      </w:r>
      <w:r w:rsidR="005539A9" w:rsidRPr="00A13D39">
        <w:rPr>
          <w:rFonts w:asciiTheme="minorHAnsi" w:hAnsiTheme="minorHAnsi" w:cs="Arial"/>
          <w:lang w:val="en-GB"/>
        </w:rPr>
        <w:t xml:space="preserve"> </w:t>
      </w:r>
      <w:r w:rsidR="00A50748" w:rsidRPr="00A13D39">
        <w:rPr>
          <w:rFonts w:asciiTheme="minorHAnsi" w:hAnsiTheme="minorHAnsi" w:cs="Arial"/>
          <w:lang w:val="en-GB"/>
        </w:rPr>
        <w:t>months.</w:t>
      </w:r>
    </w:p>
    <w:p w14:paraId="15C313DA" w14:textId="595562AA"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A50748">
        <w:rPr>
          <w:rFonts w:asciiTheme="minorHAnsi" w:hAnsiTheme="minorHAnsi" w:cs="Arial"/>
          <w:lang w:val="en-GB"/>
        </w:rPr>
        <w:tab/>
      </w:r>
      <w:r w:rsidR="00A50748">
        <w:rPr>
          <w:rFonts w:asciiTheme="minorHAnsi" w:hAnsiTheme="minorHAnsi" w:cs="Arial"/>
          <w:lang w:val="en-GB"/>
        </w:rPr>
        <w:tab/>
        <w:t>March 1, 2023</w:t>
      </w:r>
    </w:p>
    <w:p w14:paraId="4A699A6C" w14:textId="2A5D5526"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A50748">
        <w:rPr>
          <w:rFonts w:asciiTheme="minorHAnsi" w:hAnsiTheme="minorHAnsi" w:cs="Arial"/>
          <w:lang w:val="en-GB"/>
        </w:rPr>
        <w:t>Nidhi Choudhary</w:t>
      </w:r>
    </w:p>
    <w:p w14:paraId="440A3199" w14:textId="6C62AB8F"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A50748">
        <w:rPr>
          <w:rFonts w:asciiTheme="minorHAnsi" w:hAnsiTheme="minorHAnsi" w:cs="Arial"/>
          <w:lang w:val="en-GB"/>
        </w:rPr>
        <w:tab/>
      </w:r>
      <w:r w:rsidR="00A50748">
        <w:rPr>
          <w:rFonts w:asciiTheme="minorHAnsi" w:hAnsiTheme="minorHAnsi" w:cs="Arial"/>
          <w:lang w:val="en-GB"/>
        </w:rPr>
        <w:tab/>
        <w:t>Talent Development Specialist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1087D9AC" w14:textId="4058F5F9" w:rsidR="00C1211D" w:rsidRPr="00C1211D" w:rsidRDefault="00C1211D" w:rsidP="00C1211D">
      <w:pPr>
        <w:jc w:val="both"/>
        <w:rPr>
          <w:rFonts w:asciiTheme="minorHAnsi" w:hAnsiTheme="minorHAnsi" w:cs="Arial"/>
        </w:rPr>
      </w:pPr>
      <w:r w:rsidRPr="00C1211D">
        <w:rPr>
          <w:rFonts w:asciiTheme="minorHAnsi" w:hAnsiTheme="minorHAnsi" w:cs="Arial"/>
        </w:rPr>
        <w:t xml:space="preserve">UNDP, as an integral part of its mission to fight poverty and improve the lives of people around the world, is committed to being open, </w:t>
      </w:r>
      <w:r w:rsidR="00D67339" w:rsidRPr="00C1211D">
        <w:rPr>
          <w:rFonts w:asciiTheme="minorHAnsi" w:hAnsiTheme="minorHAnsi" w:cs="Arial"/>
        </w:rPr>
        <w:t>transparent,</w:t>
      </w:r>
      <w:r w:rsidRPr="00C1211D">
        <w:rPr>
          <w:rFonts w:asciiTheme="minorHAnsi" w:hAnsiTheme="minorHAnsi" w:cs="Arial"/>
        </w:rPr>
        <w:t xml:space="preserve"> and accountable. In 2012, as part of this commitment UNDP adopted International Public Sector Accounting Standards (IPSAS) and established a Global Shared Service Centre (GSSC) to provide IPSAS transactional recording (in the areas of revenue, </w:t>
      </w:r>
      <w:r w:rsidR="00D67339" w:rsidRPr="00C1211D">
        <w:rPr>
          <w:rFonts w:asciiTheme="minorHAnsi" w:hAnsiTheme="minorHAnsi" w:cs="Arial"/>
        </w:rPr>
        <w:t>expenses,</w:t>
      </w:r>
      <w:r w:rsidRPr="00C1211D">
        <w:rPr>
          <w:rFonts w:asciiTheme="minorHAnsi" w:hAnsiTheme="minorHAnsi" w:cs="Arial"/>
        </w:rPr>
        <w:t xml:space="preserve"> and fixed assets), procurement, advisory and support services from Kuala Lumpur to UNDP Offices worldwide, and to provide training to UNDP Offices where needed. Human Resources services within the GSSC was set up earlier in 2003 in Copenhagen and provides customized service packages to more than 40,000 UN personnel from agencies, </w:t>
      </w:r>
      <w:proofErr w:type="gramStart"/>
      <w:r w:rsidRPr="00C1211D">
        <w:rPr>
          <w:rFonts w:asciiTheme="minorHAnsi" w:hAnsiTheme="minorHAnsi" w:cs="Arial"/>
        </w:rPr>
        <w:t>funds</w:t>
      </w:r>
      <w:proofErr w:type="gramEnd"/>
      <w:r w:rsidRPr="00C1211D">
        <w:rPr>
          <w:rFonts w:asciiTheme="minorHAnsi" w:hAnsiTheme="minorHAnsi" w:cs="Arial"/>
        </w:rPr>
        <w:t xml:space="preserve"> and </w:t>
      </w:r>
      <w:proofErr w:type="spellStart"/>
      <w:r w:rsidRPr="00C1211D">
        <w:rPr>
          <w:rFonts w:asciiTheme="minorHAnsi" w:hAnsiTheme="minorHAnsi" w:cs="Arial"/>
        </w:rPr>
        <w:t>programmes</w:t>
      </w:r>
      <w:proofErr w:type="spellEnd"/>
      <w:r w:rsidRPr="00C1211D">
        <w:rPr>
          <w:rFonts w:asciiTheme="minorHAnsi" w:hAnsiTheme="minorHAnsi" w:cs="Arial"/>
        </w:rPr>
        <w:t xml:space="preserve"> across the UN System. GSSC/HR in Copenhagen has established a legacy as a major Human Resources administration center within the United Nations and is recognized as a </w:t>
      </w:r>
      <w:r w:rsidR="00D67339" w:rsidRPr="00C1211D">
        <w:rPr>
          <w:rFonts w:asciiTheme="minorHAnsi" w:hAnsiTheme="minorHAnsi" w:cs="Arial"/>
        </w:rPr>
        <w:t>Centre</w:t>
      </w:r>
      <w:r w:rsidRPr="00C1211D">
        <w:rPr>
          <w:rFonts w:asciiTheme="minorHAnsi" w:hAnsiTheme="minorHAnsi" w:cs="Arial"/>
        </w:rPr>
        <w:t xml:space="preserve"> of </w:t>
      </w:r>
      <w:r w:rsidR="00D67339">
        <w:rPr>
          <w:rFonts w:asciiTheme="minorHAnsi" w:hAnsiTheme="minorHAnsi" w:cs="Arial"/>
        </w:rPr>
        <w:t>E</w:t>
      </w:r>
      <w:r w:rsidRPr="00C1211D">
        <w:rPr>
          <w:rFonts w:asciiTheme="minorHAnsi" w:hAnsiTheme="minorHAnsi" w:cs="Arial"/>
        </w:rPr>
        <w:t>xcellence. The Global Shared Service Centre (GSSC) is part of the Bureau for Management Services (BMS).</w:t>
      </w:r>
    </w:p>
    <w:p w14:paraId="46B666CA" w14:textId="77777777" w:rsidR="00C1211D" w:rsidRPr="00C1211D" w:rsidRDefault="00C1211D" w:rsidP="00C1211D">
      <w:pPr>
        <w:jc w:val="both"/>
        <w:rPr>
          <w:rFonts w:asciiTheme="minorHAnsi" w:hAnsiTheme="minorHAnsi" w:cs="Arial"/>
        </w:rPr>
      </w:pPr>
    </w:p>
    <w:p w14:paraId="5E921BE9" w14:textId="080A0006" w:rsidR="00C1211D" w:rsidRPr="00C1211D" w:rsidRDefault="00C1211D" w:rsidP="00C1211D">
      <w:pPr>
        <w:jc w:val="both"/>
        <w:rPr>
          <w:rFonts w:asciiTheme="minorHAnsi" w:hAnsiTheme="minorHAnsi" w:cs="Arial"/>
        </w:rPr>
      </w:pPr>
      <w:r w:rsidRPr="00C1211D">
        <w:rPr>
          <w:rFonts w:asciiTheme="minorHAnsi" w:hAnsiTheme="minorHAnsi" w:cs="Arial"/>
        </w:rPr>
        <w:t xml:space="preserve">An expansion of the GSSC/BMS includes establishing UNDP’s Talent Development Shared Services Unit in GSSC, Copenhagen in 2021. The unit is the center of excellence for transactional support and delivery of talent development related services to create a holistic, equitable and harmonized corporate offer, and to improve access, communication, quality, and effectiveness of the services. </w:t>
      </w:r>
    </w:p>
    <w:p w14:paraId="2645B341" w14:textId="77777777" w:rsidR="00C1211D" w:rsidRPr="00C1211D" w:rsidRDefault="00C1211D" w:rsidP="00C1211D">
      <w:pPr>
        <w:jc w:val="both"/>
        <w:rPr>
          <w:rFonts w:asciiTheme="minorHAnsi" w:hAnsiTheme="minorHAnsi" w:cs="Arial"/>
        </w:rPr>
      </w:pPr>
    </w:p>
    <w:p w14:paraId="6B86CBE5" w14:textId="3A4570EA" w:rsidR="00D20CAA" w:rsidRPr="00C1211D" w:rsidRDefault="00C1211D" w:rsidP="00C1211D">
      <w:pPr>
        <w:rPr>
          <w:rFonts w:asciiTheme="minorHAnsi" w:hAnsiTheme="minorHAnsi" w:cs="Arial"/>
        </w:rPr>
      </w:pPr>
      <w:r w:rsidRPr="00C1211D">
        <w:rPr>
          <w:rFonts w:asciiTheme="minorHAnsi" w:hAnsiTheme="minorHAnsi" w:cs="Arial"/>
        </w:rPr>
        <w:t xml:space="preserve">The </w:t>
      </w:r>
      <w:r w:rsidR="00D67339" w:rsidRPr="00C1211D">
        <w:rPr>
          <w:rFonts w:asciiTheme="minorHAnsi" w:hAnsiTheme="minorHAnsi" w:cs="Arial"/>
        </w:rPr>
        <w:t>unit partners</w:t>
      </w:r>
      <w:r w:rsidRPr="00C1211D">
        <w:rPr>
          <w:rFonts w:asciiTheme="minorHAnsi" w:hAnsiTheme="minorHAnsi" w:cs="Arial"/>
        </w:rPr>
        <w:t xml:space="preserve"> closely with business units and BMS/OHR/TDU to deliver a range of transactional services related to the implementation of learning solutions and </w:t>
      </w:r>
      <w:proofErr w:type="spellStart"/>
      <w:r w:rsidRPr="00C1211D">
        <w:rPr>
          <w:rFonts w:asciiTheme="minorHAnsi" w:hAnsiTheme="minorHAnsi" w:cs="Arial"/>
        </w:rPr>
        <w:t>programmes</w:t>
      </w:r>
      <w:proofErr w:type="spellEnd"/>
      <w:r w:rsidRPr="00C1211D">
        <w:rPr>
          <w:rFonts w:asciiTheme="minorHAnsi" w:hAnsiTheme="minorHAnsi" w:cs="Arial"/>
        </w:rPr>
        <w:t xml:space="preserve"> and relevant monitoring and reporting functions, aligned with UNDP’s People for 2030 Strategy and People Development Strategy 2021-2023</w:t>
      </w:r>
      <w:r>
        <w:rPr>
          <w:rFonts w:asciiTheme="minorHAnsi" w:hAnsiTheme="minorHAnsi" w:cs="Arial"/>
        </w:rPr>
        <w:t>.</w:t>
      </w:r>
    </w:p>
    <w:p w14:paraId="1B63CBDE" w14:textId="26222E25" w:rsidR="00617B12" w:rsidRDefault="00617B12">
      <w:pPr>
        <w:rPr>
          <w:rFonts w:asciiTheme="minorHAnsi" w:hAnsiTheme="minorHAnsi" w:cs="Arial"/>
          <w:b/>
          <w:lang w:val="en-GB"/>
        </w:rPr>
      </w:pPr>
    </w:p>
    <w:p w14:paraId="08510316" w14:textId="272C7D4C" w:rsidR="00C1211D" w:rsidRDefault="00C1211D" w:rsidP="00C1211D">
      <w:pPr>
        <w:autoSpaceDE w:val="0"/>
        <w:autoSpaceDN w:val="0"/>
        <w:adjustRightInd w:val="0"/>
        <w:rPr>
          <w:rFonts w:ascii="CIDFont+F2" w:hAnsi="CIDFont+F2" w:cs="CIDFont+F2"/>
          <w:sz w:val="21"/>
          <w:szCs w:val="21"/>
          <w:lang w:eastAsia="en-GB"/>
        </w:rPr>
      </w:pPr>
      <w:r>
        <w:rPr>
          <w:rFonts w:ascii="CIDFont+F2" w:hAnsi="CIDFont+F2" w:cs="CIDFont+F2"/>
          <w:sz w:val="21"/>
          <w:szCs w:val="21"/>
          <w:lang w:eastAsia="en-GB"/>
        </w:rPr>
        <w:lastRenderedPageBreak/>
        <w:t xml:space="preserve">The selected incumbent will provide support </w:t>
      </w:r>
      <w:r>
        <w:rPr>
          <w:rFonts w:ascii="CIDFont+F2" w:hAnsi="CIDFont+F2" w:cs="CIDFont+F2"/>
          <w:sz w:val="21"/>
          <w:szCs w:val="21"/>
          <w:lang w:val="en-GB" w:eastAsia="en-GB"/>
        </w:rPr>
        <w:t>for learning</w:t>
      </w:r>
      <w:r>
        <w:rPr>
          <w:rFonts w:ascii="CIDFont+F2" w:hAnsi="CIDFont+F2" w:cs="CIDFont+F2"/>
          <w:sz w:val="21"/>
          <w:szCs w:val="21"/>
          <w:lang w:eastAsia="en-GB"/>
        </w:rPr>
        <w:t xml:space="preserve"> programmes</w:t>
      </w:r>
      <w:r>
        <w:rPr>
          <w:rFonts w:ascii="CIDFont+F2" w:hAnsi="CIDFont+F2" w:cs="CIDFont+F2"/>
          <w:sz w:val="21"/>
          <w:szCs w:val="21"/>
          <w:lang w:val="en-GB" w:eastAsia="en-GB"/>
        </w:rPr>
        <w:t>, platforms</w:t>
      </w:r>
      <w:r>
        <w:rPr>
          <w:rFonts w:ascii="CIDFont+F2" w:hAnsi="CIDFont+F2" w:cs="CIDFont+F2"/>
          <w:sz w:val="21"/>
          <w:szCs w:val="21"/>
          <w:lang w:eastAsia="en-GB"/>
        </w:rPr>
        <w:t xml:space="preserve"> and initiatives</w:t>
      </w:r>
      <w:r>
        <w:rPr>
          <w:rFonts w:ascii="CIDFont+F2" w:hAnsi="CIDFont+F2" w:cs="CIDFont+F2"/>
          <w:sz w:val="21"/>
          <w:szCs w:val="21"/>
          <w:lang w:val="en-GB" w:eastAsia="en-GB"/>
        </w:rPr>
        <w:t xml:space="preserve"> </w:t>
      </w:r>
      <w:r>
        <w:rPr>
          <w:rFonts w:ascii="CIDFont+F2" w:hAnsi="CIDFont+F2" w:cs="CIDFont+F2"/>
          <w:sz w:val="21"/>
          <w:szCs w:val="21"/>
          <w:lang w:eastAsia="en-GB"/>
        </w:rPr>
        <w:t xml:space="preserve">aligned to UNDP’s strategic priorities. S/he will work on </w:t>
      </w:r>
      <w:r w:rsidR="00824BC1">
        <w:rPr>
          <w:rFonts w:ascii="CIDFont+F2" w:hAnsi="CIDFont+F2" w:cs="CIDFont+F2"/>
          <w:sz w:val="21"/>
          <w:szCs w:val="21"/>
          <w:lang w:val="en-GB" w:eastAsia="en-GB"/>
        </w:rPr>
        <w:t xml:space="preserve">dashboards, </w:t>
      </w:r>
      <w:r>
        <w:rPr>
          <w:rFonts w:ascii="CIDFont+F2" w:hAnsi="CIDFont+F2" w:cs="CIDFont+F2"/>
          <w:sz w:val="21"/>
          <w:szCs w:val="21"/>
          <w:lang w:eastAsia="en-GB"/>
        </w:rPr>
        <w:t>data analysis and evaluations; and leverage modern</w:t>
      </w:r>
      <w:r>
        <w:rPr>
          <w:rFonts w:ascii="CIDFont+F2" w:hAnsi="CIDFont+F2" w:cs="CIDFont+F2"/>
          <w:sz w:val="21"/>
          <w:szCs w:val="21"/>
          <w:lang w:val="en-GB" w:eastAsia="en-GB"/>
        </w:rPr>
        <w:t xml:space="preserve"> </w:t>
      </w:r>
      <w:r>
        <w:rPr>
          <w:rFonts w:ascii="CIDFont+F2" w:hAnsi="CIDFont+F2" w:cs="CIDFont+F2"/>
          <w:sz w:val="21"/>
          <w:szCs w:val="21"/>
          <w:lang w:eastAsia="en-GB"/>
        </w:rPr>
        <w:t>learning and communication technologies.</w:t>
      </w:r>
    </w:p>
    <w:p w14:paraId="4119D610" w14:textId="77777777" w:rsidR="00C1211D" w:rsidRDefault="00C1211D" w:rsidP="00C1211D">
      <w:pPr>
        <w:autoSpaceDE w:val="0"/>
        <w:autoSpaceDN w:val="0"/>
        <w:adjustRightInd w:val="0"/>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45455E" w:rsidRPr="00D91EE0" w14:paraId="2E1817AF" w14:textId="77777777" w:rsidTr="00F71D0D">
        <w:tc>
          <w:tcPr>
            <w:tcW w:w="510" w:type="dxa"/>
          </w:tcPr>
          <w:p w14:paraId="4238BC90" w14:textId="0C6B4920" w:rsidR="0045455E" w:rsidRPr="00D91EE0" w:rsidRDefault="00D67339" w:rsidP="00D91EE0">
            <w:pPr>
              <w:rPr>
                <w:rFonts w:asciiTheme="minorHAnsi" w:hAnsiTheme="minorHAnsi"/>
                <w:lang w:val="en-GB"/>
              </w:rPr>
            </w:pPr>
            <w:r>
              <w:rPr>
                <w:rFonts w:asciiTheme="minorHAnsi" w:hAnsiTheme="minorHAnsi"/>
                <w:lang w:val="en-GB"/>
              </w:rPr>
              <w:t>1</w:t>
            </w:r>
          </w:p>
        </w:tc>
        <w:tc>
          <w:tcPr>
            <w:tcW w:w="7310" w:type="dxa"/>
          </w:tcPr>
          <w:p w14:paraId="1AC4FDAD" w14:textId="1FFE4CA0" w:rsidR="00C1211D" w:rsidRPr="00C1211D" w:rsidRDefault="00D67339" w:rsidP="00C1211D">
            <w:pPr>
              <w:rPr>
                <w:rFonts w:asciiTheme="minorHAnsi" w:hAnsiTheme="minorHAnsi"/>
                <w:b/>
                <w:bCs/>
                <w:lang w:val="en-GB"/>
              </w:rPr>
            </w:pPr>
            <w:r>
              <w:rPr>
                <w:rFonts w:asciiTheme="minorHAnsi" w:hAnsiTheme="minorHAnsi"/>
                <w:b/>
                <w:bCs/>
                <w:lang w:val="en-GB"/>
              </w:rPr>
              <w:t xml:space="preserve">Dashboards, </w:t>
            </w:r>
            <w:r w:rsidR="003D322E">
              <w:rPr>
                <w:rFonts w:asciiTheme="minorHAnsi" w:hAnsiTheme="minorHAnsi"/>
                <w:b/>
                <w:bCs/>
                <w:lang w:val="en-GB"/>
              </w:rPr>
              <w:t>Data Analysis</w:t>
            </w:r>
            <w:r>
              <w:rPr>
                <w:rFonts w:asciiTheme="minorHAnsi" w:hAnsiTheme="minorHAnsi"/>
                <w:b/>
                <w:bCs/>
                <w:lang w:val="en-GB"/>
              </w:rPr>
              <w:t>, Power Apps</w:t>
            </w:r>
            <w:r w:rsidR="00C1211D" w:rsidRPr="00C1211D">
              <w:rPr>
                <w:rFonts w:asciiTheme="minorHAnsi" w:hAnsiTheme="minorHAnsi"/>
                <w:b/>
                <w:bCs/>
                <w:lang w:val="en-GB"/>
              </w:rPr>
              <w:t>:</w:t>
            </w:r>
          </w:p>
          <w:p w14:paraId="40788039" w14:textId="37396A78" w:rsidR="00C1211D" w:rsidRPr="003D322E" w:rsidRDefault="003D322E" w:rsidP="003D322E">
            <w:pPr>
              <w:pStyle w:val="ListParagraph"/>
              <w:numPr>
                <w:ilvl w:val="0"/>
                <w:numId w:val="19"/>
              </w:numPr>
              <w:rPr>
                <w:rFonts w:asciiTheme="minorHAnsi" w:hAnsiTheme="minorHAnsi"/>
                <w:lang w:val="en-GB"/>
              </w:rPr>
            </w:pPr>
            <w:r>
              <w:rPr>
                <w:rFonts w:asciiTheme="minorHAnsi" w:hAnsiTheme="minorHAnsi"/>
                <w:lang w:val="en-GB"/>
              </w:rPr>
              <w:t xml:space="preserve">Support design and development </w:t>
            </w:r>
            <w:r w:rsidR="001C70DB">
              <w:rPr>
                <w:rFonts w:asciiTheme="minorHAnsi" w:hAnsiTheme="minorHAnsi"/>
                <w:lang w:val="en-GB"/>
              </w:rPr>
              <w:t xml:space="preserve">of talent </w:t>
            </w:r>
            <w:r>
              <w:rPr>
                <w:rFonts w:asciiTheme="minorHAnsi" w:hAnsiTheme="minorHAnsi"/>
                <w:lang w:val="en-GB"/>
              </w:rPr>
              <w:t>dashboards</w:t>
            </w:r>
            <w:r w:rsidR="001C70DB">
              <w:rPr>
                <w:rFonts w:asciiTheme="minorHAnsi" w:hAnsiTheme="minorHAnsi"/>
                <w:lang w:val="en-GB"/>
              </w:rPr>
              <w:t xml:space="preserve"> in </w:t>
            </w:r>
            <w:proofErr w:type="spellStart"/>
            <w:r w:rsidR="001C70DB">
              <w:rPr>
                <w:rFonts w:asciiTheme="minorHAnsi" w:hAnsiTheme="minorHAnsi"/>
                <w:lang w:val="en-GB"/>
              </w:rPr>
              <w:t>PowerBI</w:t>
            </w:r>
            <w:proofErr w:type="spellEnd"/>
          </w:p>
          <w:p w14:paraId="69DBD6FB" w14:textId="079909B7" w:rsidR="00C1211D" w:rsidRDefault="003D322E" w:rsidP="003D322E">
            <w:pPr>
              <w:pStyle w:val="ListParagraph"/>
              <w:numPr>
                <w:ilvl w:val="0"/>
                <w:numId w:val="19"/>
              </w:numPr>
              <w:rPr>
                <w:rFonts w:asciiTheme="minorHAnsi" w:hAnsiTheme="minorHAnsi"/>
                <w:lang w:val="en-GB"/>
              </w:rPr>
            </w:pPr>
            <w:r>
              <w:rPr>
                <w:rFonts w:asciiTheme="minorHAnsi" w:hAnsiTheme="minorHAnsi"/>
                <w:lang w:val="en-GB"/>
              </w:rPr>
              <w:t>Co-ordinate with stakeholders and analyse talent programme data</w:t>
            </w:r>
            <w:r w:rsidR="00C1211D" w:rsidRPr="003D322E">
              <w:rPr>
                <w:rFonts w:asciiTheme="minorHAnsi" w:hAnsiTheme="minorHAnsi"/>
                <w:lang w:val="en-GB"/>
              </w:rPr>
              <w:t>.</w:t>
            </w:r>
          </w:p>
          <w:p w14:paraId="15166A48" w14:textId="61A38E31" w:rsidR="00D67339" w:rsidRPr="003D322E" w:rsidRDefault="00D67339" w:rsidP="003D322E">
            <w:pPr>
              <w:pStyle w:val="ListParagraph"/>
              <w:numPr>
                <w:ilvl w:val="0"/>
                <w:numId w:val="19"/>
              </w:numPr>
              <w:rPr>
                <w:rFonts w:asciiTheme="minorHAnsi" w:hAnsiTheme="minorHAnsi"/>
                <w:lang w:val="en-GB"/>
              </w:rPr>
            </w:pPr>
            <w:r>
              <w:rPr>
                <w:rFonts w:asciiTheme="minorHAnsi" w:hAnsiTheme="minorHAnsi"/>
                <w:lang w:val="en-GB"/>
              </w:rPr>
              <w:t>Develop workflows using Power Apps and Power Automate</w:t>
            </w:r>
          </w:p>
          <w:p w14:paraId="0F387E28" w14:textId="5BEA2797" w:rsidR="0045455E" w:rsidRPr="00C1211D" w:rsidRDefault="0045455E" w:rsidP="00D67339">
            <w:pPr>
              <w:pStyle w:val="ListParagraph"/>
              <w:rPr>
                <w:rFonts w:asciiTheme="minorHAnsi" w:hAnsiTheme="minorHAnsi"/>
                <w:lang w:val="en-GB"/>
              </w:rPr>
            </w:pPr>
          </w:p>
        </w:tc>
        <w:tc>
          <w:tcPr>
            <w:tcW w:w="1005" w:type="dxa"/>
          </w:tcPr>
          <w:p w14:paraId="6328C4F0" w14:textId="7983A0AE" w:rsidR="009502ED" w:rsidRPr="00D91EE0" w:rsidRDefault="00D67339" w:rsidP="00D91EE0">
            <w:pPr>
              <w:ind w:left="360"/>
              <w:rPr>
                <w:rFonts w:asciiTheme="minorHAnsi" w:hAnsiTheme="minorHAnsi"/>
                <w:b/>
                <w:bCs/>
                <w:lang w:val="en-GB"/>
              </w:rPr>
            </w:pPr>
            <w:r>
              <w:rPr>
                <w:rFonts w:asciiTheme="minorHAnsi" w:hAnsiTheme="minorHAnsi"/>
                <w:b/>
                <w:bCs/>
                <w:lang w:val="en-GB"/>
              </w:rPr>
              <w:t>40</w:t>
            </w:r>
            <w:r w:rsidR="009502ED" w:rsidRPr="00D91EE0">
              <w:rPr>
                <w:rFonts w:asciiTheme="minorHAnsi" w:hAnsiTheme="minorHAnsi"/>
                <w:b/>
                <w:bCs/>
                <w:lang w:val="en-GB"/>
              </w:rPr>
              <w:t>%</w:t>
            </w:r>
          </w:p>
        </w:tc>
      </w:tr>
      <w:tr w:rsidR="00D67339" w:rsidRPr="00A13D39" w14:paraId="0F0E2549" w14:textId="77777777" w:rsidTr="00D67339">
        <w:tc>
          <w:tcPr>
            <w:tcW w:w="510" w:type="dxa"/>
            <w:tcBorders>
              <w:top w:val="single" w:sz="4" w:space="0" w:color="auto"/>
              <w:left w:val="single" w:sz="4" w:space="0" w:color="auto"/>
              <w:bottom w:val="single" w:sz="4" w:space="0" w:color="auto"/>
              <w:right w:val="single" w:sz="4" w:space="0" w:color="auto"/>
            </w:tcBorders>
          </w:tcPr>
          <w:p w14:paraId="1E4D4CA4" w14:textId="78CB440F" w:rsidR="00D67339" w:rsidRPr="00D67339" w:rsidRDefault="00D67339" w:rsidP="00EA4DE4">
            <w:pPr>
              <w:rPr>
                <w:rFonts w:asciiTheme="minorHAnsi" w:hAnsiTheme="minorHAnsi"/>
                <w:lang w:val="en-GB"/>
              </w:rPr>
            </w:pPr>
            <w:r>
              <w:rPr>
                <w:rFonts w:asciiTheme="minorHAnsi" w:hAnsiTheme="minorHAnsi"/>
                <w:lang w:val="en-GB"/>
              </w:rPr>
              <w:t>2</w:t>
            </w:r>
          </w:p>
        </w:tc>
        <w:tc>
          <w:tcPr>
            <w:tcW w:w="7310" w:type="dxa"/>
            <w:tcBorders>
              <w:top w:val="single" w:sz="4" w:space="0" w:color="auto"/>
              <w:left w:val="single" w:sz="4" w:space="0" w:color="auto"/>
              <w:bottom w:val="single" w:sz="4" w:space="0" w:color="auto"/>
              <w:right w:val="single" w:sz="4" w:space="0" w:color="auto"/>
            </w:tcBorders>
          </w:tcPr>
          <w:p w14:paraId="1681E468" w14:textId="77777777" w:rsidR="00D67339" w:rsidRPr="00F20631" w:rsidRDefault="00D67339" w:rsidP="00EA4DE4">
            <w:pPr>
              <w:rPr>
                <w:rFonts w:asciiTheme="minorHAnsi" w:hAnsiTheme="minorHAnsi"/>
                <w:b/>
                <w:bCs/>
                <w:lang w:val="en-GB"/>
              </w:rPr>
            </w:pPr>
            <w:r>
              <w:rPr>
                <w:rFonts w:asciiTheme="minorHAnsi" w:hAnsiTheme="minorHAnsi"/>
                <w:b/>
                <w:bCs/>
                <w:lang w:val="en-GB"/>
              </w:rPr>
              <w:t>Learning Platform and Systems</w:t>
            </w:r>
          </w:p>
          <w:p w14:paraId="10241F6F" w14:textId="77777777" w:rsidR="00D67339" w:rsidRPr="00D67339" w:rsidRDefault="00D67339" w:rsidP="00D67339">
            <w:pPr>
              <w:pStyle w:val="ListParagraph"/>
              <w:numPr>
                <w:ilvl w:val="0"/>
                <w:numId w:val="19"/>
              </w:numPr>
              <w:rPr>
                <w:rFonts w:asciiTheme="minorHAnsi" w:hAnsiTheme="minorHAnsi"/>
                <w:lang w:val="en-GB"/>
              </w:rPr>
            </w:pPr>
            <w:r w:rsidRPr="00D67339">
              <w:rPr>
                <w:rFonts w:asciiTheme="minorHAnsi" w:hAnsiTheme="minorHAnsi"/>
                <w:lang w:val="en-GB"/>
              </w:rPr>
              <w:t>Support design, launch, maintenance of learning platforms.</w:t>
            </w:r>
          </w:p>
          <w:p w14:paraId="54D69AE6" w14:textId="77777777" w:rsidR="00D67339" w:rsidRPr="00D67339" w:rsidRDefault="00D67339" w:rsidP="00D67339">
            <w:pPr>
              <w:pStyle w:val="ListParagraph"/>
              <w:numPr>
                <w:ilvl w:val="0"/>
                <w:numId w:val="19"/>
              </w:numPr>
              <w:rPr>
                <w:rFonts w:asciiTheme="minorHAnsi" w:hAnsiTheme="minorHAnsi"/>
                <w:lang w:val="en-GB"/>
              </w:rPr>
            </w:pPr>
            <w:r w:rsidRPr="00D67339">
              <w:rPr>
                <w:rFonts w:asciiTheme="minorHAnsi" w:hAnsiTheme="minorHAnsi"/>
                <w:lang w:val="en-GB"/>
              </w:rPr>
              <w:t>Perform quality assurance of content hosted on the learning platforms.</w:t>
            </w:r>
          </w:p>
          <w:p w14:paraId="48013E86" w14:textId="77777777" w:rsidR="00D67339" w:rsidRPr="00D67339" w:rsidRDefault="00D67339" w:rsidP="00D67339">
            <w:pPr>
              <w:pStyle w:val="ListParagraph"/>
              <w:numPr>
                <w:ilvl w:val="0"/>
                <w:numId w:val="19"/>
              </w:numPr>
              <w:rPr>
                <w:rFonts w:asciiTheme="minorHAnsi" w:hAnsiTheme="minorHAnsi"/>
                <w:b/>
                <w:bCs/>
                <w:lang w:val="en-GB"/>
              </w:rPr>
            </w:pPr>
            <w:r w:rsidRPr="00D67339">
              <w:rPr>
                <w:rFonts w:asciiTheme="minorHAnsi" w:hAnsiTheme="minorHAnsi"/>
                <w:lang w:val="en-GB"/>
              </w:rPr>
              <w:t>Support design and delivery webinars, online learning, and technology enhanced learning.</w:t>
            </w:r>
          </w:p>
        </w:tc>
        <w:tc>
          <w:tcPr>
            <w:tcW w:w="1005" w:type="dxa"/>
            <w:tcBorders>
              <w:top w:val="single" w:sz="4" w:space="0" w:color="auto"/>
              <w:left w:val="single" w:sz="4" w:space="0" w:color="auto"/>
              <w:bottom w:val="single" w:sz="4" w:space="0" w:color="auto"/>
              <w:right w:val="single" w:sz="4" w:space="0" w:color="auto"/>
            </w:tcBorders>
          </w:tcPr>
          <w:p w14:paraId="72C873C4" w14:textId="47E04064" w:rsidR="00D67339" w:rsidRPr="00D67339" w:rsidRDefault="00D67339" w:rsidP="00D67339">
            <w:pPr>
              <w:ind w:left="360"/>
              <w:rPr>
                <w:rFonts w:asciiTheme="minorHAnsi" w:hAnsiTheme="minorHAnsi"/>
                <w:b/>
                <w:bCs/>
                <w:lang w:val="en-GB"/>
              </w:rPr>
            </w:pPr>
            <w:r>
              <w:rPr>
                <w:rFonts w:asciiTheme="minorHAnsi" w:hAnsiTheme="minorHAnsi"/>
                <w:b/>
                <w:bCs/>
                <w:lang w:val="en-GB"/>
              </w:rPr>
              <w:t>3</w:t>
            </w:r>
            <w:r w:rsidR="003C6F17">
              <w:rPr>
                <w:rFonts w:asciiTheme="minorHAnsi" w:hAnsiTheme="minorHAnsi"/>
                <w:b/>
                <w:bCs/>
                <w:lang w:val="en-GB"/>
              </w:rPr>
              <w:t>5</w:t>
            </w:r>
            <w:r w:rsidRPr="00D67339">
              <w:rPr>
                <w:rFonts w:asciiTheme="minorHAnsi" w:hAnsiTheme="minorHAnsi"/>
                <w:b/>
                <w:bCs/>
                <w:lang w:val="en-GB"/>
              </w:rPr>
              <w:t>%</w:t>
            </w:r>
          </w:p>
        </w:tc>
      </w:tr>
      <w:tr w:rsidR="00D67339" w:rsidRPr="00A13D39" w14:paraId="6A0B2A09" w14:textId="77777777" w:rsidTr="00D67339">
        <w:tc>
          <w:tcPr>
            <w:tcW w:w="510" w:type="dxa"/>
            <w:tcBorders>
              <w:top w:val="single" w:sz="4" w:space="0" w:color="auto"/>
              <w:left w:val="single" w:sz="4" w:space="0" w:color="auto"/>
              <w:bottom w:val="single" w:sz="4" w:space="0" w:color="auto"/>
              <w:right w:val="single" w:sz="4" w:space="0" w:color="auto"/>
            </w:tcBorders>
          </w:tcPr>
          <w:p w14:paraId="2CB91765" w14:textId="553B3D6B" w:rsidR="00D67339" w:rsidRPr="00D67339" w:rsidRDefault="00D67339" w:rsidP="00EA4DE4">
            <w:pPr>
              <w:rPr>
                <w:rFonts w:asciiTheme="minorHAnsi" w:hAnsiTheme="minorHAnsi"/>
                <w:lang w:val="en-GB"/>
              </w:rPr>
            </w:pPr>
            <w:r>
              <w:rPr>
                <w:rFonts w:asciiTheme="minorHAnsi" w:hAnsiTheme="minorHAnsi"/>
                <w:lang w:val="en-GB"/>
              </w:rPr>
              <w:t>3</w:t>
            </w:r>
          </w:p>
        </w:tc>
        <w:tc>
          <w:tcPr>
            <w:tcW w:w="7310" w:type="dxa"/>
            <w:tcBorders>
              <w:top w:val="single" w:sz="4" w:space="0" w:color="auto"/>
              <w:left w:val="single" w:sz="4" w:space="0" w:color="auto"/>
              <w:bottom w:val="single" w:sz="4" w:space="0" w:color="auto"/>
              <w:right w:val="single" w:sz="4" w:space="0" w:color="auto"/>
            </w:tcBorders>
          </w:tcPr>
          <w:p w14:paraId="53C3482B" w14:textId="77777777" w:rsidR="00D67339" w:rsidRPr="00F20631" w:rsidRDefault="00D67339" w:rsidP="00EA4DE4">
            <w:pPr>
              <w:rPr>
                <w:rFonts w:asciiTheme="minorHAnsi" w:hAnsiTheme="minorHAnsi"/>
                <w:b/>
                <w:bCs/>
                <w:lang w:val="en-GB"/>
              </w:rPr>
            </w:pPr>
            <w:r>
              <w:rPr>
                <w:rFonts w:asciiTheme="minorHAnsi" w:hAnsiTheme="minorHAnsi"/>
                <w:b/>
                <w:bCs/>
                <w:lang w:val="en-GB"/>
              </w:rPr>
              <w:t>Certifications and Language Programmes</w:t>
            </w:r>
          </w:p>
          <w:p w14:paraId="05B48898" w14:textId="77777777" w:rsidR="00D67339" w:rsidRPr="00D67339" w:rsidRDefault="00D67339" w:rsidP="00EA4DE4">
            <w:pPr>
              <w:pStyle w:val="ListParagraph"/>
              <w:numPr>
                <w:ilvl w:val="0"/>
                <w:numId w:val="19"/>
              </w:numPr>
              <w:rPr>
                <w:rFonts w:asciiTheme="minorHAnsi" w:hAnsiTheme="minorHAnsi"/>
                <w:lang w:val="en-GB"/>
              </w:rPr>
            </w:pPr>
            <w:r w:rsidRPr="00D67339">
              <w:rPr>
                <w:rFonts w:asciiTheme="minorHAnsi" w:hAnsiTheme="minorHAnsi"/>
                <w:lang w:val="en-GB"/>
              </w:rPr>
              <w:t>Support guidance on certifications and learning programmes through creation and development of job-aids, webinars and guides.</w:t>
            </w:r>
          </w:p>
          <w:p w14:paraId="79E8E311" w14:textId="40FDB834" w:rsidR="00D67339" w:rsidRDefault="00D67339" w:rsidP="00EA4DE4">
            <w:pPr>
              <w:pStyle w:val="ListParagraph"/>
              <w:numPr>
                <w:ilvl w:val="0"/>
                <w:numId w:val="19"/>
              </w:numPr>
              <w:rPr>
                <w:rFonts w:asciiTheme="minorHAnsi" w:hAnsiTheme="minorHAnsi"/>
                <w:lang w:val="en-GB"/>
              </w:rPr>
            </w:pPr>
            <w:r w:rsidRPr="00D67339">
              <w:rPr>
                <w:rFonts w:asciiTheme="minorHAnsi" w:hAnsiTheme="minorHAnsi"/>
                <w:lang w:val="en-GB"/>
              </w:rPr>
              <w:t xml:space="preserve">Assist with reconciliation of data and cost recovery. </w:t>
            </w:r>
          </w:p>
          <w:p w14:paraId="765BF7B0" w14:textId="5CEBEA29" w:rsidR="00D67339" w:rsidRPr="00D67339" w:rsidRDefault="00D67339" w:rsidP="00D67339">
            <w:pPr>
              <w:pStyle w:val="ListParagraph"/>
              <w:numPr>
                <w:ilvl w:val="0"/>
                <w:numId w:val="19"/>
              </w:numPr>
              <w:rPr>
                <w:rFonts w:asciiTheme="minorHAnsi" w:hAnsiTheme="minorHAnsi"/>
                <w:b/>
                <w:bCs/>
                <w:lang w:val="en-GB"/>
              </w:rPr>
            </w:pPr>
            <w:r w:rsidRPr="00C1211D">
              <w:rPr>
                <w:rFonts w:asciiTheme="minorHAnsi" w:hAnsiTheme="minorHAnsi"/>
                <w:lang w:val="en-GB"/>
              </w:rPr>
              <w:t>Support other/ad hoc activities as seen relevant and needed.</w:t>
            </w:r>
          </w:p>
        </w:tc>
        <w:tc>
          <w:tcPr>
            <w:tcW w:w="1005" w:type="dxa"/>
            <w:tcBorders>
              <w:top w:val="single" w:sz="4" w:space="0" w:color="auto"/>
              <w:left w:val="single" w:sz="4" w:space="0" w:color="auto"/>
              <w:bottom w:val="single" w:sz="4" w:space="0" w:color="auto"/>
              <w:right w:val="single" w:sz="4" w:space="0" w:color="auto"/>
            </w:tcBorders>
          </w:tcPr>
          <w:p w14:paraId="413A0629" w14:textId="5A7AB459" w:rsidR="00D67339" w:rsidRPr="00D67339" w:rsidRDefault="003C6F17" w:rsidP="00D67339">
            <w:pPr>
              <w:ind w:left="360"/>
              <w:rPr>
                <w:rFonts w:asciiTheme="minorHAnsi" w:hAnsiTheme="minorHAnsi"/>
                <w:b/>
                <w:bCs/>
                <w:lang w:val="en-GB"/>
              </w:rPr>
            </w:pPr>
            <w:r>
              <w:rPr>
                <w:rFonts w:asciiTheme="minorHAnsi" w:hAnsiTheme="minorHAnsi"/>
                <w:b/>
                <w:bCs/>
                <w:lang w:val="en-GB"/>
              </w:rPr>
              <w:t>25</w:t>
            </w:r>
            <w:r w:rsidR="00D67339" w:rsidRPr="00D67339">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780AADFC"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1C70DB">
                <w:rPr>
                  <w:rFonts w:ascii="Calibri" w:hAnsi="Calibri" w:cs="Calibri"/>
                  <w:b/>
                  <w:bCs/>
                  <w:sz w:val="22"/>
                  <w:szCs w:val="22"/>
                  <w:lang w:val="en-GB"/>
                </w:rPr>
                <w:t xml:space="preserve">Information Technology, </w:t>
              </w:r>
              <w:r w:rsidR="003C6F17">
                <w:rPr>
                  <w:rFonts w:ascii="Calibri" w:hAnsi="Calibri" w:cs="Calibri"/>
                  <w:b/>
                  <w:bCs/>
                  <w:sz w:val="22"/>
                  <w:szCs w:val="22"/>
                  <w:lang w:val="en-GB"/>
                </w:rPr>
                <w:t xml:space="preserve">Computer Science, Business Administration, </w:t>
              </w:r>
              <w:r w:rsidR="001C70DB">
                <w:rPr>
                  <w:rFonts w:ascii="Calibri" w:hAnsi="Calibri" w:cs="Calibri"/>
                  <w:b/>
                  <w:bCs/>
                  <w:sz w:val="22"/>
                  <w:szCs w:val="22"/>
                  <w:lang w:val="en-GB"/>
                </w:rPr>
                <w:t xml:space="preserve">Data Science </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721FCC25" w14:textId="693B7B04" w:rsidR="001C70DB" w:rsidRDefault="001C70DB" w:rsidP="001C70DB">
      <w:pPr>
        <w:pStyle w:val="ListParagraph"/>
        <w:numPr>
          <w:ilvl w:val="0"/>
          <w:numId w:val="19"/>
        </w:numPr>
        <w:spacing w:after="160" w:line="259" w:lineRule="auto"/>
        <w:rPr>
          <w:rFonts w:asciiTheme="minorHAnsi" w:hAnsiTheme="minorHAnsi" w:cs="Arial"/>
        </w:rPr>
      </w:pPr>
      <w:r w:rsidRPr="001C70DB">
        <w:rPr>
          <w:rFonts w:asciiTheme="minorHAnsi" w:hAnsiTheme="minorHAnsi" w:cs="Arial"/>
        </w:rPr>
        <w:t>Knowledge of advanced data analytics and visualization tools, such as</w:t>
      </w:r>
      <w:r w:rsidR="0007551A">
        <w:rPr>
          <w:rFonts w:asciiTheme="minorHAnsi" w:hAnsiTheme="minorHAnsi" w:cs="Arial"/>
        </w:rPr>
        <w:t xml:space="preserve"> R, Tableau,</w:t>
      </w:r>
      <w:r w:rsidRPr="001C70DB">
        <w:rPr>
          <w:rFonts w:asciiTheme="minorHAnsi" w:hAnsiTheme="minorHAnsi" w:cs="Arial"/>
        </w:rPr>
        <w:t xml:space="preserve"> Power BI</w:t>
      </w:r>
      <w:r w:rsidR="0007551A">
        <w:rPr>
          <w:rFonts w:asciiTheme="minorHAnsi" w:hAnsiTheme="minorHAnsi" w:cs="Arial"/>
        </w:rPr>
        <w:t xml:space="preserve"> e</w:t>
      </w:r>
      <w:r w:rsidR="00B90DE3">
        <w:rPr>
          <w:rFonts w:asciiTheme="minorHAnsi" w:hAnsiTheme="minorHAnsi" w:cs="Arial"/>
        </w:rPr>
        <w:t>t</w:t>
      </w:r>
      <w:r w:rsidR="0007551A">
        <w:rPr>
          <w:rFonts w:asciiTheme="minorHAnsi" w:hAnsiTheme="minorHAnsi" w:cs="Arial"/>
        </w:rPr>
        <w:t>c.</w:t>
      </w:r>
      <w:r w:rsidRPr="001C70DB">
        <w:rPr>
          <w:rFonts w:asciiTheme="minorHAnsi" w:hAnsiTheme="minorHAnsi" w:cs="Arial"/>
        </w:rPr>
        <w:t xml:space="preserve">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59846EB6" w:rsidR="004300EB" w:rsidRPr="00135960" w:rsidRDefault="00D67339"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16E8C" w:rsidRPr="00135960">
        <w:rPr>
          <w:rFonts w:asciiTheme="minorHAnsi" w:hAnsiTheme="minorHAnsi" w:cs="Arial"/>
          <w:sz w:val="20"/>
        </w:rPr>
        <w:t>required</w:t>
      </w:r>
      <w:r w:rsidR="00416E8C">
        <w:rPr>
          <w:rFonts w:asciiTheme="minorHAnsi" w:hAnsiTheme="minorHAnsi" w:cs="Arial"/>
          <w:sz w:val="20"/>
        </w:rPr>
        <w:t>.</w:t>
      </w:r>
    </w:p>
    <w:p w14:paraId="2E91CF60" w14:textId="10B85F1B"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67339">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B730E" w14:textId="77777777" w:rsidR="00FC734C" w:rsidRDefault="00FC734C">
      <w:r>
        <w:separator/>
      </w:r>
    </w:p>
  </w:endnote>
  <w:endnote w:type="continuationSeparator" w:id="0">
    <w:p w14:paraId="2D13D263" w14:textId="77777777" w:rsidR="00FC734C" w:rsidRDefault="00FC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A4666" w14:textId="77777777" w:rsidR="00FC734C" w:rsidRDefault="00FC734C">
      <w:r>
        <w:separator/>
      </w:r>
    </w:p>
  </w:footnote>
  <w:footnote w:type="continuationSeparator" w:id="0">
    <w:p w14:paraId="3B64C7B4" w14:textId="77777777" w:rsidR="00FC734C" w:rsidRDefault="00FC7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9D5A8D"/>
    <w:multiLevelType w:val="multilevel"/>
    <w:tmpl w:val="414C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C952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E5255F"/>
    <w:multiLevelType w:val="hybridMultilevel"/>
    <w:tmpl w:val="BA1C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1122009">
    <w:abstractNumId w:val="12"/>
  </w:num>
  <w:num w:numId="2" w16cid:durableId="404568419">
    <w:abstractNumId w:val="19"/>
  </w:num>
  <w:num w:numId="3" w16cid:durableId="1425303053">
    <w:abstractNumId w:val="4"/>
  </w:num>
  <w:num w:numId="4" w16cid:durableId="1856110772">
    <w:abstractNumId w:val="9"/>
  </w:num>
  <w:num w:numId="5" w16cid:durableId="1873565294">
    <w:abstractNumId w:val="18"/>
  </w:num>
  <w:num w:numId="6" w16cid:durableId="1878614754">
    <w:abstractNumId w:val="16"/>
  </w:num>
  <w:num w:numId="7" w16cid:durableId="1224103627">
    <w:abstractNumId w:val="21"/>
  </w:num>
  <w:num w:numId="8" w16cid:durableId="1224828763">
    <w:abstractNumId w:val="7"/>
  </w:num>
  <w:num w:numId="9" w16cid:durableId="1877303585">
    <w:abstractNumId w:val="22"/>
  </w:num>
  <w:num w:numId="10" w16cid:durableId="336927178">
    <w:abstractNumId w:val="0"/>
  </w:num>
  <w:num w:numId="11" w16cid:durableId="2090804082">
    <w:abstractNumId w:val="10"/>
  </w:num>
  <w:num w:numId="12" w16cid:durableId="697465049">
    <w:abstractNumId w:val="5"/>
  </w:num>
  <w:num w:numId="13" w16cid:durableId="827598781">
    <w:abstractNumId w:val="20"/>
  </w:num>
  <w:num w:numId="14" w16cid:durableId="255796365">
    <w:abstractNumId w:val="2"/>
  </w:num>
  <w:num w:numId="15" w16cid:durableId="2125297573">
    <w:abstractNumId w:val="17"/>
  </w:num>
  <w:num w:numId="16" w16cid:durableId="1084453057">
    <w:abstractNumId w:val="15"/>
  </w:num>
  <w:num w:numId="17" w16cid:durableId="643120510">
    <w:abstractNumId w:val="3"/>
  </w:num>
  <w:num w:numId="18" w16cid:durableId="1053651283">
    <w:abstractNumId w:val="1"/>
  </w:num>
  <w:num w:numId="19" w16cid:durableId="398527610">
    <w:abstractNumId w:val="6"/>
  </w:num>
  <w:num w:numId="20" w16cid:durableId="1829131390">
    <w:abstractNumId w:val="11"/>
  </w:num>
  <w:num w:numId="21" w16cid:durableId="1370111910">
    <w:abstractNumId w:val="25"/>
  </w:num>
  <w:num w:numId="22" w16cid:durableId="57285232">
    <w:abstractNumId w:val="13"/>
  </w:num>
  <w:num w:numId="23" w16cid:durableId="1129469720">
    <w:abstractNumId w:val="8"/>
  </w:num>
  <w:num w:numId="24" w16cid:durableId="792596149">
    <w:abstractNumId w:val="23"/>
  </w:num>
  <w:num w:numId="25" w16cid:durableId="997920895">
    <w:abstractNumId w:val="24"/>
  </w:num>
  <w:num w:numId="26" w16cid:durableId="14294976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1468"/>
    <w:rsid w:val="00055936"/>
    <w:rsid w:val="00057250"/>
    <w:rsid w:val="0007551A"/>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0DB"/>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2A"/>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C6F17"/>
    <w:rsid w:val="003D322E"/>
    <w:rsid w:val="003D52ED"/>
    <w:rsid w:val="003F35C2"/>
    <w:rsid w:val="003F47AD"/>
    <w:rsid w:val="00400665"/>
    <w:rsid w:val="004020C9"/>
    <w:rsid w:val="004075BD"/>
    <w:rsid w:val="00413B1F"/>
    <w:rsid w:val="00414B5C"/>
    <w:rsid w:val="004151A6"/>
    <w:rsid w:val="00416E8C"/>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4BC1"/>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074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0DE3"/>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11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67339"/>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E5E3F"/>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C734C"/>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8427">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7A3FF3"/>
    <w:rsid w:val="009F12C2"/>
    <w:rsid w:val="00AA14C4"/>
  </w:rsids>
  <m:mathPr>
    <m:mathFont m:val="Cambria Math"/>
    <m:brkBin m:val="before"/>
    <m:brkBinSub m:val="--"/>
    <m:smallFrac m:val="0"/>
    <m:dispDef/>
    <m:lMargin m:val="0"/>
    <m:rMargin m:val="0"/>
    <m:defJc m:val="centerGroup"/>
    <m:wrapIndent m:val="1440"/>
    <m:intLim m:val="subSup"/>
    <m:naryLim m:val="undOvr"/>
  </m:mathPr>
  <w:themeFontLan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2023-03-07T06:43:00Z</dcterms:created>
  <dcterms:modified xsi:type="dcterms:W3CDTF">2023-03-07T06:43:00Z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