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525F1F01"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Pr="00D17EEB">
              <w:rPr>
                <w:color w:val="E36C0A" w:themeColor="accent6" w:themeShade="BF"/>
                <w:szCs w:val="22"/>
              </w:rPr>
              <w:t>(</w:t>
            </w:r>
            <w:r w:rsidR="002F008B">
              <w:rPr>
                <w:color w:val="E36C0A" w:themeColor="accent6" w:themeShade="BF"/>
                <w:szCs w:val="22"/>
              </w:rPr>
              <w:t>Migration Health</w:t>
            </w:r>
            <w:r w:rsidRPr="00D17EEB">
              <w:rPr>
                <w:color w:val="E36C0A" w:themeColor="accent6" w:themeShade="BF"/>
                <w:szCs w:val="22"/>
              </w:rPr>
              <w:t>)</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19C7ACB8" w:rsidR="00763913" w:rsidRPr="00015601" w:rsidRDefault="002F008B" w:rsidP="00771842">
            <w:pPr>
              <w:pStyle w:val="Title"/>
              <w:jc w:val="left"/>
              <w:rPr>
                <w:color w:val="1F497D" w:themeColor="text2"/>
                <w:szCs w:val="22"/>
              </w:rPr>
            </w:pPr>
            <w:r>
              <w:rPr>
                <w:color w:val="1F497D" w:themeColor="text2"/>
                <w:szCs w:val="22"/>
              </w:rPr>
              <w:t>Lilongwe, Malawi</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330E3113" w:rsidR="00763913" w:rsidRPr="00015601" w:rsidRDefault="002F008B" w:rsidP="00771842">
            <w:pPr>
              <w:pStyle w:val="Title"/>
              <w:jc w:val="left"/>
              <w:rPr>
                <w:color w:val="1F497D" w:themeColor="text2"/>
                <w:szCs w:val="22"/>
              </w:rPr>
            </w:pPr>
            <w:r>
              <w:rPr>
                <w:color w:val="1F497D" w:themeColor="text2"/>
                <w:szCs w:val="22"/>
              </w:rPr>
              <w:t>Migration Health</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4A43B9D8" w:rsidR="00763913" w:rsidRPr="00015601" w:rsidRDefault="00A169E7" w:rsidP="00771842">
            <w:pPr>
              <w:pStyle w:val="Title"/>
              <w:jc w:val="left"/>
              <w:rPr>
                <w:color w:val="1F497D" w:themeColor="text2"/>
                <w:szCs w:val="22"/>
              </w:rPr>
            </w:pPr>
            <w:r>
              <w:rPr>
                <w:color w:val="1F497D" w:themeColor="text2"/>
                <w:szCs w:val="22"/>
              </w:rPr>
              <w:t>Country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7484CEAC" w:rsidR="00241BC9" w:rsidRPr="00015601" w:rsidRDefault="002F008B" w:rsidP="00241BC9">
            <w:pPr>
              <w:pStyle w:val="Title"/>
              <w:rPr>
                <w:color w:val="1F497D" w:themeColor="text2"/>
                <w:szCs w:val="22"/>
              </w:rPr>
            </w:pPr>
            <w:r>
              <w:rPr>
                <w:color w:val="1F497D" w:themeColor="text2"/>
                <w:szCs w:val="22"/>
              </w:rPr>
              <w:t>National Health Migration Officer</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33DA864D" w14:textId="77777777" w:rsidR="002F008B" w:rsidRPr="001168A1" w:rsidRDefault="002F008B" w:rsidP="002F008B">
            <w:pPr>
              <w:numPr>
                <w:ilvl w:val="0"/>
                <w:numId w:val="35"/>
              </w:numPr>
              <w:autoSpaceDE/>
              <w:autoSpaceDN/>
              <w:adjustRightInd/>
              <w:spacing w:after="0"/>
              <w:ind w:right="386"/>
              <w:rPr>
                <w:b/>
                <w:szCs w:val="22"/>
                <w:lang w:val="en-US" w:eastAsia="en-US"/>
              </w:rPr>
            </w:pPr>
            <w:r w:rsidRPr="001168A1">
              <w:rPr>
                <w:b/>
                <w:szCs w:val="22"/>
                <w:lang w:val="en-US" w:eastAsia="en-US"/>
              </w:rPr>
              <w:t xml:space="preserve">Background </w:t>
            </w:r>
          </w:p>
          <w:p w14:paraId="615F0A3E" w14:textId="77777777" w:rsidR="002F008B" w:rsidRPr="00877D02" w:rsidRDefault="002F008B" w:rsidP="002F008B">
            <w:pPr>
              <w:ind w:right="386"/>
              <w:rPr>
                <w:szCs w:val="22"/>
                <w:lang w:eastAsia="en-US"/>
              </w:rPr>
            </w:pPr>
            <w:r w:rsidRPr="00877D02">
              <w:rPr>
                <w:szCs w:val="22"/>
                <w:lang w:eastAsia="en-US"/>
              </w:rPr>
              <w:t xml:space="preserve">The International Organization for Migration (IOM), the UN Migration Agency is a dynamic and growing inter-governmental organization, with 173 member states.  IOM is committed to the principle that “humane and orderly migration benefits migrants and society”. Established in 1951 and now active in over 440 field locations worldwide, IOM works with partners, government and civil society to promote international cooperation to address operational challenges of migration and mobility, assist in the search for practical solutions to migration problems, and to provide humanitarian assistance to migrants in need, including refugees and internally displaced people. IOM addresses the migratory phenomenon from an integral and holistic perspective, including links to development, to maximize its benefits and minimize its negative effects. </w:t>
            </w:r>
          </w:p>
          <w:p w14:paraId="1618D74D" w14:textId="77777777" w:rsidR="002F008B" w:rsidRPr="001168A1" w:rsidRDefault="002F008B" w:rsidP="002F008B">
            <w:pPr>
              <w:ind w:right="386"/>
              <w:rPr>
                <w:szCs w:val="22"/>
                <w:lang w:eastAsia="en-US"/>
              </w:rPr>
            </w:pPr>
            <w:r w:rsidRPr="00877D02">
              <w:rPr>
                <w:szCs w:val="22"/>
                <w:lang w:eastAsia="en-US"/>
              </w:rPr>
              <w:t>IOM’s Migration Health programmes address the health needs of individual migrants as well as the public health needs of transit and host communities by assisting governmental and non-governmental partners in the development and implementation of relevant policies and programmes. IOM’s Migration Health programmes address the health needs of individual migrants as well as the public health needs of host communities by assisting governmental and non-governmental partners in the development and implementation of relevant policies and programmes. Regarding</w:t>
            </w:r>
            <w:r w:rsidRPr="001168A1">
              <w:rPr>
                <w:szCs w:val="22"/>
                <w:lang w:eastAsia="en-US"/>
              </w:rPr>
              <w:t xml:space="preserve"> the field of migration health, IOM focuses on three strategic programme areas:</w:t>
            </w:r>
          </w:p>
          <w:p w14:paraId="5208523B" w14:textId="77777777" w:rsidR="002F008B" w:rsidRPr="001168A1" w:rsidRDefault="002F008B" w:rsidP="002F008B">
            <w:pPr>
              <w:ind w:right="386"/>
              <w:rPr>
                <w:szCs w:val="22"/>
                <w:lang w:eastAsia="en-US"/>
              </w:rPr>
            </w:pPr>
            <w:r w:rsidRPr="001168A1">
              <w:rPr>
                <w:b/>
                <w:szCs w:val="22"/>
                <w:lang w:eastAsia="en-US"/>
              </w:rPr>
              <w:t>1) Migration Health Assessments and Travel Assistance</w:t>
            </w:r>
            <w:r w:rsidRPr="001168A1">
              <w:rPr>
                <w:szCs w:val="22"/>
                <w:lang w:eastAsia="en-US"/>
              </w:rPr>
              <w:t>: Providing health assessment services to migrants and refugees on behalf of destination governments. Services include physical examination, laboratory diagnostics, vaccinations, DNA testing, and treatment of excludable conditions as per the specific guidelines of receiving governments.</w:t>
            </w:r>
          </w:p>
          <w:p w14:paraId="2447702F" w14:textId="77777777" w:rsidR="002F008B" w:rsidRPr="001168A1" w:rsidRDefault="002F008B" w:rsidP="002F008B">
            <w:pPr>
              <w:ind w:right="386"/>
              <w:rPr>
                <w:szCs w:val="22"/>
                <w:lang w:eastAsia="en-US"/>
              </w:rPr>
            </w:pPr>
            <w:r w:rsidRPr="001168A1">
              <w:rPr>
                <w:b/>
                <w:szCs w:val="22"/>
                <w:lang w:eastAsia="en-US"/>
              </w:rPr>
              <w:t>2)</w:t>
            </w:r>
            <w:r w:rsidRPr="001168A1">
              <w:rPr>
                <w:szCs w:val="22"/>
                <w:lang w:eastAsia="en-US"/>
              </w:rPr>
              <w:t xml:space="preserve"> </w:t>
            </w:r>
            <w:r w:rsidRPr="001168A1">
              <w:rPr>
                <w:b/>
                <w:szCs w:val="22"/>
                <w:lang w:eastAsia="en-US"/>
              </w:rPr>
              <w:t>Health Promotion and Assistance for Migrants</w:t>
            </w:r>
            <w:r w:rsidRPr="001168A1">
              <w:rPr>
                <w:szCs w:val="22"/>
                <w:lang w:eastAsia="en-US"/>
              </w:rPr>
              <w:t xml:space="preserve">: Providing health services that meet the specific needs of migrants and their host communities, across a wide range of priority areas such as sexual and reproductive health and rights (SRHR); mental health; immunizations; environmental health and hygiene; </w:t>
            </w:r>
            <w:r w:rsidRPr="001168A1">
              <w:rPr>
                <w:szCs w:val="22"/>
                <w:lang w:eastAsia="en-US"/>
              </w:rPr>
              <w:lastRenderedPageBreak/>
              <w:t>outbreak preparedness; and communicable disease prevention, surveillance, and control. Furthermore, this programme area involves health promotion and education on migration health, while developing government and community capacity in identifying and responding to the health-related challenges of migration and population mobility.</w:t>
            </w:r>
          </w:p>
          <w:p w14:paraId="63A7913D" w14:textId="77777777" w:rsidR="002F008B" w:rsidRPr="001168A1" w:rsidRDefault="002F008B" w:rsidP="002F008B">
            <w:pPr>
              <w:ind w:right="386"/>
              <w:rPr>
                <w:szCs w:val="22"/>
                <w:lang w:eastAsia="en-US"/>
              </w:rPr>
            </w:pPr>
            <w:r w:rsidRPr="001168A1">
              <w:rPr>
                <w:b/>
                <w:szCs w:val="22"/>
                <w:lang w:eastAsia="en-US"/>
              </w:rPr>
              <w:t>3)</w:t>
            </w:r>
            <w:r w:rsidRPr="001168A1">
              <w:rPr>
                <w:szCs w:val="22"/>
                <w:lang w:eastAsia="en-US"/>
              </w:rPr>
              <w:t xml:space="preserve"> </w:t>
            </w:r>
            <w:r w:rsidRPr="001168A1">
              <w:rPr>
                <w:b/>
                <w:szCs w:val="22"/>
                <w:lang w:eastAsia="en-US"/>
              </w:rPr>
              <w:t>Migration Health Assistance for Crisis-affected Populations</w:t>
            </w:r>
            <w:r w:rsidRPr="001168A1">
              <w:rPr>
                <w:szCs w:val="22"/>
                <w:lang w:eastAsia="en-US"/>
              </w:rPr>
              <w:t>: Supporting governments and populations during the acute phase and in the aftermath of emergencies by managing health issues related to the mass movement of people and arranging medical evacuation for individuals. Activities include psychosocial assistance, communicable disease control</w:t>
            </w:r>
            <w:r>
              <w:rPr>
                <w:szCs w:val="22"/>
                <w:lang w:eastAsia="en-US"/>
              </w:rPr>
              <w:t>.</w:t>
            </w:r>
          </w:p>
          <w:p w14:paraId="2E7BCD05" w14:textId="77777777" w:rsidR="002F008B" w:rsidRPr="001168A1" w:rsidRDefault="002F008B" w:rsidP="002F008B">
            <w:pPr>
              <w:ind w:right="386"/>
              <w:rPr>
                <w:szCs w:val="22"/>
                <w:lang w:eastAsia="en-US"/>
              </w:rPr>
            </w:pPr>
            <w:r w:rsidRPr="001168A1">
              <w:rPr>
                <w:b/>
                <w:bCs/>
                <w:szCs w:val="22"/>
                <w:lang w:eastAsia="en-US"/>
              </w:rPr>
              <w:t>4) Health Promotion and Assistance to Migrants</w:t>
            </w:r>
            <w:r w:rsidRPr="001168A1">
              <w:rPr>
                <w:szCs w:val="22"/>
                <w:lang w:eastAsia="en-US"/>
              </w:rPr>
              <w:t xml:space="preserve">: Provide health services that meet the specific need of migrants </w:t>
            </w:r>
            <w:r>
              <w:rPr>
                <w:szCs w:val="22"/>
                <w:lang w:eastAsia="en-US"/>
              </w:rPr>
              <w:t>in</w:t>
            </w:r>
            <w:r w:rsidRPr="001168A1">
              <w:rPr>
                <w:szCs w:val="22"/>
                <w:lang w:eastAsia="en-US"/>
              </w:rPr>
              <w:t xml:space="preserve"> host communities, across a wide range of priority areas such as sexual and reproductive health and rights (SRHR), mental health, immunizations, environmental health and hygiene; outbreak preparedness; and communicable disease prevention, surveillance and control. Furthermore, this programme area involves health promotion and education on migration health, while developing government and community capacity in identifying and responding to the health-related challenges of migration and population mobility.</w:t>
            </w:r>
          </w:p>
          <w:p w14:paraId="5E74F5F5" w14:textId="77777777" w:rsidR="002F008B" w:rsidRPr="001168A1" w:rsidRDefault="002F008B" w:rsidP="002F008B">
            <w:pPr>
              <w:ind w:right="386"/>
              <w:rPr>
                <w:szCs w:val="22"/>
                <w:lang w:eastAsia="en-US"/>
              </w:rPr>
            </w:pPr>
            <w:r w:rsidRPr="001168A1">
              <w:rPr>
                <w:b/>
                <w:bCs/>
                <w:szCs w:val="22"/>
                <w:lang w:eastAsia="en-US"/>
              </w:rPr>
              <w:t>5) Migration Health Assistance for Crisis-affected Population</w:t>
            </w:r>
            <w:r w:rsidRPr="001168A1">
              <w:rPr>
                <w:szCs w:val="22"/>
                <w:lang w:eastAsia="en-US"/>
              </w:rPr>
              <w:t>: Support Governments and populations during the acute phase in the aftermath of emergencies by managing health issues related to the mass movement of people and arranging medical evacuation for individuals. Activities include psychosocial assistance, communicable disease control and response, and reconstruction of damaged health infrastructure.</w:t>
            </w:r>
          </w:p>
          <w:p w14:paraId="480C9A3C" w14:textId="77777777" w:rsidR="002F008B" w:rsidRPr="001168A1" w:rsidRDefault="002F008B" w:rsidP="002F008B">
            <w:pPr>
              <w:pStyle w:val="Default"/>
              <w:jc w:val="both"/>
              <w:rPr>
                <w:color w:val="auto"/>
                <w:sz w:val="22"/>
                <w:szCs w:val="22"/>
                <w:lang w:val="en-GB"/>
              </w:rPr>
            </w:pPr>
            <w:r w:rsidRPr="00877D02">
              <w:rPr>
                <w:sz w:val="22"/>
                <w:szCs w:val="22"/>
              </w:rPr>
              <w:t xml:space="preserve">To enhance migration health </w:t>
            </w:r>
            <w:proofErr w:type="spellStart"/>
            <w:r w:rsidRPr="00877D02">
              <w:rPr>
                <w:sz w:val="22"/>
                <w:szCs w:val="22"/>
              </w:rPr>
              <w:t>programmes</w:t>
            </w:r>
            <w:proofErr w:type="spellEnd"/>
            <w:r w:rsidRPr="00877D02">
              <w:rPr>
                <w:sz w:val="22"/>
                <w:szCs w:val="22"/>
              </w:rPr>
              <w:t xml:space="preserve"> in cross-border and major transport corridors in Southern Africa, IOM received funding from the Kingdom of the Netherlands to implement the project entitled: “Sexual and Reproductive Health and Rights (</w:t>
            </w:r>
            <w:r w:rsidRPr="00877D02">
              <w:rPr>
                <w:i/>
                <w:sz w:val="22"/>
                <w:szCs w:val="22"/>
              </w:rPr>
              <w:t xml:space="preserve">SRHR)-HIV Knows No Borders (KNB)”. </w:t>
            </w:r>
            <w:r w:rsidRPr="001168A1">
              <w:rPr>
                <w:iCs/>
                <w:sz w:val="22"/>
                <w:szCs w:val="22"/>
              </w:rPr>
              <w:t xml:space="preserve">The </w:t>
            </w:r>
            <w:proofErr w:type="spellStart"/>
            <w:r w:rsidRPr="001168A1">
              <w:rPr>
                <w:iCs/>
                <w:sz w:val="22"/>
                <w:szCs w:val="22"/>
              </w:rPr>
              <w:t>programme</w:t>
            </w:r>
            <w:proofErr w:type="spellEnd"/>
            <w:r w:rsidRPr="001168A1">
              <w:rPr>
                <w:iCs/>
                <w:sz w:val="22"/>
                <w:szCs w:val="22"/>
              </w:rPr>
              <w:t xml:space="preserve"> is implemented in partnership with Save the </w:t>
            </w:r>
            <w:r w:rsidRPr="00877D02">
              <w:rPr>
                <w:iCs/>
                <w:sz w:val="22"/>
                <w:szCs w:val="22"/>
              </w:rPr>
              <w:t>C</w:t>
            </w:r>
            <w:r w:rsidRPr="001168A1">
              <w:rPr>
                <w:iCs/>
                <w:sz w:val="22"/>
                <w:szCs w:val="22"/>
              </w:rPr>
              <w:t xml:space="preserve">hildren International and </w:t>
            </w:r>
            <w:r w:rsidRPr="00877D02">
              <w:rPr>
                <w:iCs/>
                <w:sz w:val="22"/>
                <w:szCs w:val="22"/>
              </w:rPr>
              <w:t>in close collaboration with Ministries of Health, other UN agencies and local community organi</w:t>
            </w:r>
            <w:r>
              <w:rPr>
                <w:iCs/>
                <w:sz w:val="22"/>
                <w:szCs w:val="22"/>
              </w:rPr>
              <w:t>z</w:t>
            </w:r>
            <w:r w:rsidRPr="00877D02">
              <w:rPr>
                <w:iCs/>
                <w:sz w:val="22"/>
                <w:szCs w:val="22"/>
              </w:rPr>
              <w:t xml:space="preserve">ations. </w:t>
            </w:r>
            <w:r w:rsidRPr="00584719">
              <w:rPr>
                <w:iCs/>
                <w:sz w:val="22"/>
                <w:szCs w:val="22"/>
              </w:rPr>
              <w:t>T</w:t>
            </w:r>
            <w:r w:rsidRPr="00584719">
              <w:rPr>
                <w:bCs/>
                <w:color w:val="auto"/>
                <w:sz w:val="22"/>
                <w:szCs w:val="22"/>
                <w:lang w:val="en-GB"/>
              </w:rPr>
              <w:t>he programme’s overall impact objective is to</w:t>
            </w:r>
            <w:r w:rsidRPr="001168A1">
              <w:rPr>
                <w:color w:val="auto"/>
                <w:sz w:val="22"/>
                <w:szCs w:val="22"/>
                <w:lang w:val="en-GB"/>
              </w:rPr>
              <w:t xml:space="preserve"> contribute to improved SRH-HIV outcomes and quality of life among young vulnerable people (YVP) aged 10 to 29 years, including migrants and sex workers living in migration affected communities in six countries (Eswatini, Lesotho, Malawi, Mozambique, South Africa and Zambia) in Southern African region by December 2026.</w:t>
            </w:r>
            <w:r w:rsidRPr="00877D02">
              <w:rPr>
                <w:sz w:val="22"/>
                <w:szCs w:val="22"/>
              </w:rPr>
              <w:t xml:space="preserve"> </w:t>
            </w:r>
          </w:p>
          <w:p w14:paraId="2685CEA8" w14:textId="77777777" w:rsidR="002F008B" w:rsidRPr="001168A1" w:rsidRDefault="002F008B" w:rsidP="002F008B">
            <w:pPr>
              <w:pStyle w:val="Default"/>
              <w:jc w:val="both"/>
              <w:rPr>
                <w:sz w:val="22"/>
                <w:szCs w:val="22"/>
                <w:lang w:val="en-GB"/>
              </w:rPr>
            </w:pPr>
          </w:p>
          <w:p w14:paraId="7655DB38" w14:textId="77777777" w:rsidR="002F008B" w:rsidRPr="00186923" w:rsidRDefault="002F008B" w:rsidP="002F008B">
            <w:pPr>
              <w:pStyle w:val="Default"/>
              <w:jc w:val="both"/>
              <w:rPr>
                <w:iCs/>
                <w:szCs w:val="22"/>
              </w:rPr>
            </w:pPr>
            <w:r w:rsidRPr="001168A1">
              <w:rPr>
                <w:sz w:val="22"/>
                <w:szCs w:val="22"/>
              </w:rPr>
              <w:t>This overarching goal will be achieved through the following interdependent intermediate outcomes:</w:t>
            </w:r>
          </w:p>
          <w:p w14:paraId="56C7EB87" w14:textId="77777777" w:rsidR="002F008B" w:rsidRPr="001168A1" w:rsidRDefault="002F008B" w:rsidP="002F008B">
            <w:pPr>
              <w:pStyle w:val="Default"/>
              <w:numPr>
                <w:ilvl w:val="0"/>
                <w:numId w:val="36"/>
              </w:numPr>
              <w:jc w:val="both"/>
              <w:rPr>
                <w:color w:val="auto"/>
                <w:sz w:val="22"/>
                <w:szCs w:val="22"/>
                <w:lang w:val="en-GB"/>
              </w:rPr>
            </w:pPr>
            <w:r w:rsidRPr="001168A1">
              <w:rPr>
                <w:b/>
                <w:bCs/>
                <w:color w:val="auto"/>
                <w:sz w:val="22"/>
                <w:szCs w:val="22"/>
                <w:lang w:val="en-GB"/>
              </w:rPr>
              <w:t>Healthy Choices:</w:t>
            </w:r>
            <w:r w:rsidRPr="001168A1">
              <w:rPr>
                <w:color w:val="auto"/>
                <w:sz w:val="22"/>
                <w:szCs w:val="22"/>
                <w:lang w:val="en-GB"/>
              </w:rPr>
              <w:t xml:space="preserve"> Young vulnerable people (YVP), including migrants and sex workers living in migration affected communities in six countries in Southern African region have safe sexual behaviour and greater freedom of choice about their HIV and SRH rights by December 2026.</w:t>
            </w:r>
          </w:p>
          <w:p w14:paraId="4EA3815E" w14:textId="77777777" w:rsidR="002F008B" w:rsidRPr="001168A1" w:rsidRDefault="002F008B" w:rsidP="002F008B">
            <w:pPr>
              <w:pStyle w:val="Default"/>
              <w:numPr>
                <w:ilvl w:val="0"/>
                <w:numId w:val="36"/>
              </w:numPr>
              <w:jc w:val="both"/>
              <w:rPr>
                <w:color w:val="auto"/>
                <w:sz w:val="22"/>
                <w:szCs w:val="22"/>
                <w:lang w:val="en-GB"/>
              </w:rPr>
            </w:pPr>
            <w:r w:rsidRPr="001168A1">
              <w:rPr>
                <w:b/>
                <w:color w:val="auto"/>
                <w:sz w:val="22"/>
                <w:szCs w:val="22"/>
                <w:lang w:val="en-GB"/>
              </w:rPr>
              <w:t>Access to Services:</w:t>
            </w:r>
            <w:r w:rsidRPr="001168A1">
              <w:rPr>
                <w:color w:val="auto"/>
                <w:sz w:val="22"/>
                <w:szCs w:val="22"/>
                <w:lang w:val="en-GB"/>
              </w:rPr>
              <w:t xml:space="preserve"> Young vulnerable people (YVP), including migrants and sex workers living in migration affected communities in six countries of Southern Africa have increased access to and utilization of quality SRH-HIV and other support services by December 2026.</w:t>
            </w:r>
          </w:p>
          <w:p w14:paraId="71A6DF7E" w14:textId="77777777" w:rsidR="002F008B" w:rsidRPr="001168A1" w:rsidRDefault="002F008B" w:rsidP="002F008B">
            <w:pPr>
              <w:pStyle w:val="Default"/>
              <w:numPr>
                <w:ilvl w:val="0"/>
                <w:numId w:val="36"/>
              </w:numPr>
              <w:jc w:val="both"/>
              <w:rPr>
                <w:color w:val="auto"/>
                <w:sz w:val="22"/>
                <w:szCs w:val="22"/>
                <w:lang w:val="en-GB"/>
              </w:rPr>
            </w:pPr>
            <w:r w:rsidRPr="001168A1">
              <w:rPr>
                <w:b/>
                <w:color w:val="auto"/>
                <w:sz w:val="22"/>
                <w:szCs w:val="22"/>
                <w:lang w:val="en-GB"/>
              </w:rPr>
              <w:t>Creating an enabling environment:</w:t>
            </w:r>
            <w:r w:rsidRPr="001168A1">
              <w:rPr>
                <w:color w:val="auto"/>
                <w:sz w:val="22"/>
                <w:szCs w:val="22"/>
                <w:lang w:val="en-GB"/>
              </w:rPr>
              <w:t xml:space="preserve"> Young vulnerable people (YVP), including migrants and sex workers living in migration affected communities in six countries of Southern Africa have their SRH-HIV rights and needs </w:t>
            </w:r>
            <w:r w:rsidRPr="001168A1">
              <w:rPr>
                <w:color w:val="auto"/>
                <w:sz w:val="22"/>
                <w:szCs w:val="22"/>
                <w:lang w:val="en-GB"/>
              </w:rPr>
              <w:lastRenderedPageBreak/>
              <w:t>progressively addressed in changed socio-cultural norms, policy reforms and implementation at local, national and regional levels by December 2026.</w:t>
            </w:r>
          </w:p>
          <w:p w14:paraId="29D8D7A4" w14:textId="77777777" w:rsidR="002F008B" w:rsidRPr="00877D02" w:rsidRDefault="002F008B" w:rsidP="002F008B">
            <w:pPr>
              <w:autoSpaceDE/>
              <w:autoSpaceDN/>
              <w:adjustRightInd/>
              <w:spacing w:after="0"/>
              <w:ind w:right="386"/>
              <w:rPr>
                <w:bCs/>
                <w:szCs w:val="22"/>
                <w:lang w:eastAsia="en-US"/>
              </w:rPr>
            </w:pPr>
          </w:p>
          <w:p w14:paraId="7ED57395" w14:textId="77777777" w:rsidR="002F008B" w:rsidRPr="00877D02" w:rsidRDefault="002F008B" w:rsidP="002F008B">
            <w:pPr>
              <w:autoSpaceDE/>
              <w:autoSpaceDN/>
              <w:adjustRightInd/>
              <w:spacing w:after="0"/>
              <w:ind w:right="386"/>
              <w:rPr>
                <w:bCs/>
                <w:szCs w:val="22"/>
                <w:lang w:eastAsia="en-US"/>
              </w:rPr>
            </w:pPr>
          </w:p>
          <w:p w14:paraId="7C02809D" w14:textId="1C612F1E" w:rsidR="002F008B" w:rsidRDefault="002F008B" w:rsidP="002F008B">
            <w:pPr>
              <w:rPr>
                <w:szCs w:val="22"/>
              </w:rPr>
            </w:pPr>
            <w:r w:rsidRPr="00877D02">
              <w:rPr>
                <w:bCs/>
                <w:szCs w:val="22"/>
              </w:rPr>
              <w:t xml:space="preserve">Against this background, IOM in </w:t>
            </w:r>
            <w:r w:rsidRPr="001168A1">
              <w:rPr>
                <w:bCs/>
                <w:szCs w:val="22"/>
              </w:rPr>
              <w:t>Malawi</w:t>
            </w:r>
            <w:r w:rsidRPr="00877D02">
              <w:rPr>
                <w:bCs/>
                <w:szCs w:val="22"/>
              </w:rPr>
              <w:t xml:space="preserve"> is looking to employ</w:t>
            </w:r>
            <w:r>
              <w:rPr>
                <w:bCs/>
                <w:szCs w:val="22"/>
              </w:rPr>
              <w:t xml:space="preserve"> an Intern under the </w:t>
            </w:r>
            <w:r w:rsidRPr="00877D02">
              <w:rPr>
                <w:bCs/>
                <w:szCs w:val="22"/>
              </w:rPr>
              <w:t>Migration Healt</w:t>
            </w:r>
            <w:r w:rsidR="00584719">
              <w:rPr>
                <w:bCs/>
                <w:szCs w:val="22"/>
              </w:rPr>
              <w:t>h Unit</w:t>
            </w:r>
            <w:r>
              <w:rPr>
                <w:bCs/>
                <w:szCs w:val="22"/>
              </w:rPr>
              <w:t xml:space="preserve"> </w:t>
            </w:r>
            <w:r w:rsidRPr="00877D02">
              <w:rPr>
                <w:bCs/>
                <w:szCs w:val="22"/>
              </w:rPr>
              <w:t>to</w:t>
            </w:r>
            <w:r>
              <w:rPr>
                <w:bCs/>
                <w:szCs w:val="22"/>
              </w:rPr>
              <w:t xml:space="preserve"> assist on</w:t>
            </w:r>
            <w:r w:rsidRPr="00877D02">
              <w:rPr>
                <w:bCs/>
                <w:szCs w:val="22"/>
              </w:rPr>
              <w:t xml:space="preserve"> provid</w:t>
            </w:r>
            <w:r>
              <w:rPr>
                <w:bCs/>
                <w:szCs w:val="22"/>
              </w:rPr>
              <w:t>ing</w:t>
            </w:r>
            <w:r w:rsidRPr="00877D02">
              <w:rPr>
                <w:bCs/>
                <w:szCs w:val="22"/>
              </w:rPr>
              <w:t xml:space="preserve"> support to the implementation of the</w:t>
            </w:r>
            <w:r w:rsidR="00584719">
              <w:rPr>
                <w:bCs/>
                <w:szCs w:val="22"/>
              </w:rPr>
              <w:t xml:space="preserve"> SRHR and HIV</w:t>
            </w:r>
            <w:r w:rsidRPr="00877D02">
              <w:rPr>
                <w:bCs/>
                <w:szCs w:val="22"/>
              </w:rPr>
              <w:t xml:space="preserve"> </w:t>
            </w:r>
            <w:r w:rsidRPr="001168A1">
              <w:rPr>
                <w:bCs/>
                <w:szCs w:val="22"/>
              </w:rPr>
              <w:t>Knows No Borders project and other migration health</w:t>
            </w:r>
            <w:r w:rsidRPr="00877D02">
              <w:rPr>
                <w:bCs/>
                <w:szCs w:val="22"/>
              </w:rPr>
              <w:t xml:space="preserve"> initiatives undertaken by the mission.</w:t>
            </w:r>
            <w:r w:rsidRPr="001168A1">
              <w:rPr>
                <w:bCs/>
                <w:szCs w:val="22"/>
              </w:rPr>
              <w:t xml:space="preserve"> </w:t>
            </w:r>
            <w:r w:rsidRPr="001168A1">
              <w:rPr>
                <w:szCs w:val="22"/>
              </w:rPr>
              <w:t xml:space="preserve">In Malawi, the KNB programme is implemented in districts of </w:t>
            </w:r>
            <w:proofErr w:type="spellStart"/>
            <w:r w:rsidRPr="001168A1">
              <w:rPr>
                <w:szCs w:val="22"/>
              </w:rPr>
              <w:t>Mchinji</w:t>
            </w:r>
            <w:proofErr w:type="spellEnd"/>
            <w:r w:rsidRPr="001168A1">
              <w:rPr>
                <w:szCs w:val="22"/>
              </w:rPr>
              <w:t xml:space="preserve">, Mwanza and </w:t>
            </w:r>
            <w:proofErr w:type="spellStart"/>
            <w:r w:rsidRPr="001168A1">
              <w:rPr>
                <w:szCs w:val="22"/>
              </w:rPr>
              <w:t>Neno</w:t>
            </w:r>
            <w:proofErr w:type="spellEnd"/>
            <w:r w:rsidRPr="001168A1">
              <w:rPr>
                <w:szCs w:val="22"/>
              </w:rPr>
              <w:t>.</w:t>
            </w:r>
          </w:p>
          <w:p w14:paraId="7E2EAF1C" w14:textId="139FFEE6" w:rsidR="009F3448" w:rsidRPr="00D17EEB" w:rsidRDefault="009F3448" w:rsidP="002F008B">
            <w:pPr>
              <w:rPr>
                <w:b/>
                <w:color w:val="E36C0A" w:themeColor="accent6" w:themeShade="BF"/>
                <w:szCs w:val="22"/>
                <w:u w:val="single"/>
              </w:rPr>
            </w:pPr>
            <w:r w:rsidRPr="00A16163">
              <w:rPr>
                <w:b/>
                <w:szCs w:val="22"/>
                <w:u w:val="single"/>
              </w:rPr>
              <w:t>Supervision</w:t>
            </w:r>
          </w:p>
          <w:p w14:paraId="31AE780A" w14:textId="2B670402" w:rsidR="00241BC9" w:rsidRPr="00E267D2" w:rsidRDefault="002F008B" w:rsidP="00241BC9">
            <w:pPr>
              <w:rPr>
                <w:i/>
                <w:iCs/>
                <w:color w:val="FF0000"/>
              </w:rPr>
            </w:pPr>
            <w:r w:rsidRPr="001168A1">
              <w:rPr>
                <w:szCs w:val="22"/>
              </w:rPr>
              <w:t>Under the overall supervision of the IOM Chief of Mission Malawi</w:t>
            </w:r>
            <w:r>
              <w:rPr>
                <w:szCs w:val="22"/>
              </w:rPr>
              <w:t xml:space="preserve"> and direct supervision of the National Migration Health Project Officer</w:t>
            </w:r>
            <w:r w:rsidR="00717585">
              <w:rPr>
                <w:szCs w:val="22"/>
              </w:rPr>
              <w:t>,</w:t>
            </w:r>
            <w:r w:rsidRPr="001168A1">
              <w:rPr>
                <w:szCs w:val="22"/>
              </w:rPr>
              <w:t xml:space="preserve"> </w:t>
            </w:r>
            <w:r w:rsidR="00717585" w:rsidRPr="00365AD8">
              <w:t>the intern will assist with the operational</w:t>
            </w:r>
            <w:r w:rsidR="00717585">
              <w:t xml:space="preserve"> </w:t>
            </w:r>
            <w:r w:rsidR="00717585" w:rsidRPr="00365AD8">
              <w:t>activities of the M</w:t>
            </w:r>
            <w:r w:rsidR="00717585">
              <w:t>igration Health Department in Malawi.</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5B3A3547" w14:textId="40B9557D" w:rsidR="008225E9" w:rsidRDefault="009F3448" w:rsidP="008225E9">
            <w:pPr>
              <w:ind w:left="360" w:hanging="360"/>
              <w:rPr>
                <w:color w:val="E36C0A" w:themeColor="accent6" w:themeShade="BF"/>
              </w:rPr>
            </w:pPr>
            <w:r w:rsidRPr="007B425E">
              <w:rPr>
                <w:color w:val="E36C0A" w:themeColor="accent6" w:themeShade="BF"/>
              </w:rPr>
              <w:t>Areas</w:t>
            </w:r>
            <w:r w:rsidR="00241BC9" w:rsidRPr="007B425E">
              <w:rPr>
                <w:color w:val="E36C0A" w:themeColor="accent6" w:themeShade="BF"/>
              </w:rPr>
              <w:t xml:space="preserve"> of responsibilities by using the “What, why and how” approach</w:t>
            </w:r>
            <w:r w:rsidRPr="007B425E">
              <w:rPr>
                <w:color w:val="E36C0A" w:themeColor="accent6" w:themeShade="BF"/>
              </w:rPr>
              <w:t>.</w:t>
            </w:r>
          </w:p>
          <w:p w14:paraId="3B80ECCE" w14:textId="77777777" w:rsidR="008225E9" w:rsidRDefault="008225E9" w:rsidP="008225E9">
            <w:pPr>
              <w:rPr>
                <w:b/>
                <w:szCs w:val="22"/>
                <w:u w:val="single"/>
              </w:rPr>
            </w:pPr>
            <w:r w:rsidRPr="008225E9">
              <w:rPr>
                <w:b/>
                <w:szCs w:val="22"/>
                <w:u w:val="single"/>
              </w:rPr>
              <w:t>Training Components and Learning Elements</w:t>
            </w:r>
          </w:p>
          <w:p w14:paraId="4BDF14FB" w14:textId="77777777" w:rsidR="00447FDC" w:rsidRPr="00365AD8" w:rsidRDefault="00447FDC" w:rsidP="00447FDC">
            <w:pPr>
              <w:pStyle w:val="ListParagraph"/>
              <w:numPr>
                <w:ilvl w:val="0"/>
                <w:numId w:val="40"/>
              </w:numPr>
              <w:spacing w:before="0" w:after="60"/>
              <w:ind w:right="0"/>
            </w:pPr>
            <w:r w:rsidRPr="00365AD8">
              <w:t>Work with the</w:t>
            </w:r>
            <w:r>
              <w:t xml:space="preserve"> local staff on overall management and implementation of migration health activities;</w:t>
            </w:r>
          </w:p>
          <w:p w14:paraId="4834BDA5" w14:textId="77777777" w:rsidR="00447FDC" w:rsidRPr="00365AD8" w:rsidRDefault="00447FDC" w:rsidP="00447FDC">
            <w:pPr>
              <w:pStyle w:val="ListParagraph"/>
              <w:numPr>
                <w:ilvl w:val="0"/>
                <w:numId w:val="40"/>
              </w:numPr>
              <w:spacing w:before="0" w:after="60"/>
              <w:ind w:right="0"/>
            </w:pPr>
            <w:r w:rsidRPr="00365AD8">
              <w:t xml:space="preserve">Assist with </w:t>
            </w:r>
            <w:r>
              <w:t>monitoring and evaluation of migration health activities;</w:t>
            </w:r>
          </w:p>
          <w:p w14:paraId="2A5C4254" w14:textId="77777777" w:rsidR="00447FDC" w:rsidRDefault="00447FDC" w:rsidP="00447FDC">
            <w:pPr>
              <w:pStyle w:val="ListParagraph"/>
              <w:numPr>
                <w:ilvl w:val="0"/>
                <w:numId w:val="40"/>
              </w:numPr>
              <w:spacing w:before="0" w:after="60"/>
              <w:ind w:right="0"/>
            </w:pPr>
            <w:r w:rsidRPr="00365AD8">
              <w:t xml:space="preserve">Attend </w:t>
            </w:r>
            <w:r>
              <w:t xml:space="preserve">internal </w:t>
            </w:r>
            <w:r w:rsidRPr="00365AD8">
              <w:t xml:space="preserve">meetings related to operational areas of </w:t>
            </w:r>
            <w:r>
              <w:t>the department’s</w:t>
            </w:r>
            <w:r w:rsidRPr="00365AD8">
              <w:t xml:space="preserve"> activities;</w:t>
            </w:r>
          </w:p>
          <w:p w14:paraId="30694CC2" w14:textId="77777777" w:rsidR="00447FDC" w:rsidRDefault="00447FDC" w:rsidP="00447FDC">
            <w:pPr>
              <w:pStyle w:val="ListParagraph"/>
              <w:numPr>
                <w:ilvl w:val="0"/>
                <w:numId w:val="40"/>
              </w:numPr>
              <w:spacing w:before="0" w:after="60"/>
              <w:ind w:right="0"/>
            </w:pPr>
            <w:r>
              <w:t>Assist with organizing external meetings and site visits;</w:t>
            </w:r>
          </w:p>
          <w:p w14:paraId="52B289D0" w14:textId="77777777" w:rsidR="00447FDC" w:rsidRPr="00365AD8" w:rsidRDefault="00447FDC" w:rsidP="00447FDC">
            <w:pPr>
              <w:pStyle w:val="ListParagraph"/>
              <w:numPr>
                <w:ilvl w:val="0"/>
                <w:numId w:val="40"/>
              </w:numPr>
              <w:spacing w:before="0" w:after="60"/>
              <w:ind w:right="0"/>
            </w:pPr>
            <w:r>
              <w:t>Assist with the preparation of reports on activities as assigned;</w:t>
            </w:r>
          </w:p>
          <w:p w14:paraId="6AC26F41" w14:textId="77777777" w:rsidR="00447FDC" w:rsidRDefault="00447FDC" w:rsidP="00447FDC">
            <w:pPr>
              <w:pStyle w:val="ListParagraph"/>
              <w:numPr>
                <w:ilvl w:val="0"/>
                <w:numId w:val="40"/>
              </w:numPr>
              <w:spacing w:before="0" w:after="60"/>
              <w:ind w:right="0"/>
            </w:pPr>
            <w:r w:rsidRPr="00365AD8">
              <w:t xml:space="preserve">Interact with </w:t>
            </w:r>
            <w:r>
              <w:t xml:space="preserve">implementing </w:t>
            </w:r>
            <w:r w:rsidRPr="00365AD8">
              <w:t xml:space="preserve">partners </w:t>
            </w:r>
            <w:r>
              <w:t>and assist with coordination of their activities;</w:t>
            </w:r>
          </w:p>
          <w:p w14:paraId="4651D545" w14:textId="363A0444" w:rsidR="008225E9" w:rsidRPr="00447FDC" w:rsidRDefault="00447FDC" w:rsidP="00447FDC">
            <w:pPr>
              <w:pStyle w:val="ListParagraph"/>
              <w:numPr>
                <w:ilvl w:val="0"/>
                <w:numId w:val="40"/>
              </w:numPr>
              <w:spacing w:before="0" w:after="60"/>
              <w:ind w:right="0"/>
            </w:pPr>
            <w:r w:rsidRPr="00365AD8">
              <w:t xml:space="preserve">Undertake all other </w:t>
            </w:r>
            <w:r>
              <w:t>tasks</w:t>
            </w:r>
            <w:r w:rsidRPr="00365AD8">
              <w:t xml:space="preserve"> as may be assigned.</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4AF7ED14" w14:textId="77777777" w:rsidR="00241BC9" w:rsidRPr="00AF2709" w:rsidRDefault="00524B84" w:rsidP="00241BC9">
                  <w:pPr>
                    <w:spacing w:after="0"/>
                    <w:textAlignment w:val="baseline"/>
                  </w:pPr>
                  <w:r w:rsidRPr="00AF2709">
                    <w:t>The applicant must meet one of the following education requirement:</w:t>
                  </w:r>
                </w:p>
                <w:p w14:paraId="6F5C7E21" w14:textId="3A78E50D" w:rsidR="00524B84" w:rsidRPr="00AF2709" w:rsidRDefault="00524B84" w:rsidP="00241BC9">
                  <w:pPr>
                    <w:spacing w:after="0"/>
                    <w:textAlignment w:val="baseline"/>
                  </w:pPr>
                </w:p>
              </w:tc>
            </w:tr>
            <w:tr w:rsidR="007B425E" w:rsidRPr="007B425E" w14:paraId="315B1FF0" w14:textId="77777777">
              <w:trPr>
                <w:trHeight w:val="324"/>
              </w:trPr>
              <w:tc>
                <w:tcPr>
                  <w:tcW w:w="0" w:type="auto"/>
                </w:tcPr>
                <w:p w14:paraId="6068298F" w14:textId="1026C06F" w:rsidR="00524B84" w:rsidRPr="00AF2709" w:rsidRDefault="00524B84" w:rsidP="00524B84">
                  <w:pPr>
                    <w:pStyle w:val="ListParagraph"/>
                    <w:numPr>
                      <w:ilvl w:val="0"/>
                      <w:numId w:val="39"/>
                    </w:numPr>
                    <w:rPr>
                      <w:color w:val="auto"/>
                    </w:rPr>
                  </w:pPr>
                  <w:r w:rsidRPr="00AF2709">
                    <w:rPr>
                      <w:color w:val="auto"/>
                    </w:rPr>
                    <w:t xml:space="preserve">Be enrolled in the final academic year of a first university degree </w:t>
                  </w:r>
                  <w:proofErr w:type="spellStart"/>
                  <w:r w:rsidRPr="00AF2709">
                    <w:rPr>
                      <w:color w:val="auto"/>
                    </w:rPr>
                    <w:t>programme</w:t>
                  </w:r>
                  <w:proofErr w:type="spellEnd"/>
                  <w:r w:rsidR="009C4154">
                    <w:rPr>
                      <w:color w:val="auto"/>
                    </w:rPr>
                    <w:t xml:space="preserve"> </w:t>
                  </w:r>
                  <w:r w:rsidR="009C4154" w:rsidRPr="00877D02">
                    <w:rPr>
                      <w:szCs w:val="22"/>
                    </w:rPr>
                    <w:t>in</w:t>
                  </w:r>
                  <w:r w:rsidR="009C4154">
                    <w:rPr>
                      <w:szCs w:val="22"/>
                    </w:rPr>
                    <w:t xml:space="preserve"> health or </w:t>
                  </w:r>
                  <w:r w:rsidR="00C959FC">
                    <w:rPr>
                      <w:szCs w:val="22"/>
                    </w:rPr>
                    <w:t>any related field</w:t>
                  </w:r>
                  <w:r w:rsidR="009C4154">
                    <w:rPr>
                      <w:szCs w:val="22"/>
                    </w:rPr>
                    <w:t xml:space="preserve"> </w:t>
                  </w:r>
                  <w:r w:rsidRPr="00AF2709">
                    <w:rPr>
                      <w:color w:val="auto"/>
                    </w:rPr>
                    <w:t xml:space="preserve">(minimum Bachelor’s level or equivalent); or </w:t>
                  </w:r>
                </w:p>
                <w:p w14:paraId="51F9A839" w14:textId="5563E65D" w:rsidR="00524B84" w:rsidRPr="00AF2709" w:rsidRDefault="00524B84" w:rsidP="00524B84">
                  <w:pPr>
                    <w:pStyle w:val="ListParagraph"/>
                    <w:numPr>
                      <w:ilvl w:val="0"/>
                      <w:numId w:val="39"/>
                    </w:numPr>
                    <w:rPr>
                      <w:color w:val="auto"/>
                    </w:rPr>
                  </w:pPr>
                  <w:r w:rsidRPr="00AF2709">
                    <w:rPr>
                      <w:color w:val="auto"/>
                    </w:rPr>
                    <w:t xml:space="preserve">Be enrolled in a graduate school </w:t>
                  </w:r>
                  <w:proofErr w:type="spellStart"/>
                  <w:r w:rsidRPr="00AF2709">
                    <w:rPr>
                      <w:color w:val="auto"/>
                    </w:rPr>
                    <w:t>programme</w:t>
                  </w:r>
                  <w:proofErr w:type="spellEnd"/>
                  <w:r w:rsidRPr="00AF2709">
                    <w:rPr>
                      <w:color w:val="auto"/>
                    </w:rPr>
                    <w:t xml:space="preserve"> </w:t>
                  </w:r>
                  <w:r w:rsidR="009C4154">
                    <w:rPr>
                      <w:color w:val="auto"/>
                    </w:rPr>
                    <w:t xml:space="preserve">in the above named fields </w:t>
                  </w:r>
                  <w:r w:rsidRPr="00AF2709">
                    <w:rPr>
                      <w:color w:val="auto"/>
                    </w:rPr>
                    <w:t xml:space="preserve">(second university degree or equivalent, or higher); or </w:t>
                  </w:r>
                </w:p>
                <w:p w14:paraId="6B9E421C" w14:textId="5667AEE6" w:rsidR="00241BC9" w:rsidRPr="00AF2709" w:rsidRDefault="00524B84" w:rsidP="00524B84">
                  <w:pPr>
                    <w:pStyle w:val="ListParagraph"/>
                    <w:numPr>
                      <w:ilvl w:val="0"/>
                      <w:numId w:val="39"/>
                    </w:numPr>
                    <w:rPr>
                      <w:color w:val="auto"/>
                    </w:rPr>
                  </w:pPr>
                  <w:r w:rsidRPr="00AF2709">
                    <w:rPr>
                      <w:color w:val="auto"/>
                    </w:rPr>
                    <w:t>Have graduated with a university degree</w:t>
                  </w:r>
                  <w:r w:rsidR="009C4154">
                    <w:rPr>
                      <w:color w:val="auto"/>
                    </w:rPr>
                    <w:t xml:space="preserve"> in the above named fields</w:t>
                  </w:r>
                  <w:r w:rsidRPr="00AF2709">
                    <w:rPr>
                      <w:color w:val="auto"/>
                    </w:rPr>
                    <w:t xml:space="preserve"> (as defined (a) or (b) above) and, if selected, must commence the internship within one year of graduation.</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E3E037A" w14:textId="77777777" w:rsidR="00241BC9" w:rsidRDefault="00241BC9" w:rsidP="00241BC9">
            <w:pPr>
              <w:rPr>
                <w:rFonts w:eastAsia="Arial"/>
              </w:rPr>
            </w:pPr>
          </w:p>
          <w:p w14:paraId="307C509B" w14:textId="0F8815FF" w:rsidR="004831F6" w:rsidRPr="00877D02" w:rsidRDefault="004831F6" w:rsidP="004831F6">
            <w:pPr>
              <w:pStyle w:val="ListParagraph"/>
              <w:numPr>
                <w:ilvl w:val="0"/>
                <w:numId w:val="31"/>
              </w:numPr>
              <w:rPr>
                <w:color w:val="auto"/>
                <w:szCs w:val="22"/>
              </w:rPr>
            </w:pPr>
            <w:r>
              <w:rPr>
                <w:color w:val="auto"/>
                <w:szCs w:val="22"/>
              </w:rPr>
              <w:t xml:space="preserve">No </w:t>
            </w:r>
            <w:r w:rsidR="00C959FC">
              <w:rPr>
                <w:color w:val="auto"/>
                <w:szCs w:val="22"/>
              </w:rPr>
              <w:t xml:space="preserve">previous </w:t>
            </w:r>
            <w:r>
              <w:rPr>
                <w:color w:val="auto"/>
                <w:szCs w:val="22"/>
              </w:rPr>
              <w:t xml:space="preserve">professional experience is </w:t>
            </w:r>
            <w:r w:rsidR="00AF2709">
              <w:rPr>
                <w:color w:val="auto"/>
                <w:szCs w:val="22"/>
              </w:rPr>
              <w:t>required</w:t>
            </w:r>
            <w:r w:rsidRPr="00877D02">
              <w:rPr>
                <w:color w:val="auto"/>
                <w:szCs w:val="22"/>
              </w:rPr>
              <w:t>.</w:t>
            </w:r>
          </w:p>
          <w:p w14:paraId="46C213A4" w14:textId="20F2E7D6" w:rsidR="009F3448" w:rsidRPr="007B425E" w:rsidRDefault="009F3448" w:rsidP="009F3448">
            <w:pPr>
              <w:ind w:left="360" w:hanging="360"/>
              <w:rPr>
                <w:color w:val="E36C0A" w:themeColor="accent6" w:themeShade="BF"/>
                <w:szCs w:val="22"/>
              </w:rPr>
            </w:pPr>
          </w:p>
          <w:p w14:paraId="321EB30D" w14:textId="2F1EE2E7" w:rsidR="00241BC9" w:rsidRPr="00A675E2" w:rsidRDefault="00241BC9" w:rsidP="009F3448">
            <w:pPr>
              <w:pStyle w:val="ListParagraph"/>
              <w:numPr>
                <w:ilvl w:val="0"/>
                <w:numId w:val="0"/>
              </w:numPr>
              <w:ind w:left="360"/>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7E1A28F3" w14:textId="77777777" w:rsidR="00C06853" w:rsidRDefault="00C06853" w:rsidP="00C06853">
            <w:pPr>
              <w:pStyle w:val="ListParagraph"/>
              <w:numPr>
                <w:ilvl w:val="0"/>
                <w:numId w:val="31"/>
              </w:numPr>
              <w:rPr>
                <w:color w:val="auto"/>
                <w:szCs w:val="22"/>
              </w:rPr>
            </w:pPr>
            <w:r>
              <w:rPr>
                <w:color w:val="auto"/>
                <w:szCs w:val="22"/>
              </w:rPr>
              <w:t>Strong facilitation/training skills</w:t>
            </w:r>
          </w:p>
          <w:p w14:paraId="09D912A0" w14:textId="77777777" w:rsidR="00C06853" w:rsidRDefault="00C06853" w:rsidP="00C06853">
            <w:pPr>
              <w:pStyle w:val="ListParagraph"/>
              <w:numPr>
                <w:ilvl w:val="0"/>
                <w:numId w:val="31"/>
              </w:numPr>
              <w:rPr>
                <w:color w:val="auto"/>
                <w:szCs w:val="22"/>
              </w:rPr>
            </w:pPr>
            <w:r>
              <w:rPr>
                <w:color w:val="auto"/>
                <w:szCs w:val="22"/>
              </w:rPr>
              <w:t>Excellent writing and communication skills</w:t>
            </w:r>
          </w:p>
          <w:p w14:paraId="350295F7" w14:textId="6407C3CF" w:rsidR="00241BC9" w:rsidRPr="00C959FC" w:rsidRDefault="00C959FC" w:rsidP="00C959FC">
            <w:pPr>
              <w:pStyle w:val="ListParagraph"/>
              <w:numPr>
                <w:ilvl w:val="0"/>
                <w:numId w:val="31"/>
              </w:numPr>
              <w:rPr>
                <w:szCs w:val="22"/>
              </w:rPr>
            </w:pPr>
            <w:r w:rsidRPr="00C959FC">
              <w:rPr>
                <w:szCs w:val="22"/>
              </w:rPr>
              <w:t>Ability to work both independently and in a team environment.</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2DB9F5CF" w:rsidR="00241BC9" w:rsidRPr="00C52B95" w:rsidRDefault="00241BC9" w:rsidP="00241BC9">
            <w:pPr>
              <w:spacing w:after="0"/>
              <w:rPr>
                <w:szCs w:val="22"/>
              </w:rPr>
            </w:pPr>
            <w:r w:rsidRPr="00983483">
              <w:rPr>
                <w:color w:val="1F497D" w:themeColor="text2"/>
              </w:rPr>
              <w:t>Language required for the position:</w:t>
            </w:r>
            <w:r>
              <w:rPr>
                <w:color w:val="FF0000"/>
                <w:szCs w:val="22"/>
              </w:rPr>
              <w:t xml:space="preserve"> </w:t>
            </w:r>
            <w:r w:rsidR="00912EDF" w:rsidRPr="00877D02">
              <w:rPr>
                <w:szCs w:val="22"/>
                <w:lang w:val="en-US" w:eastAsia="en-US"/>
              </w:rPr>
              <w:t>Fluency in English (oral and written).</w:t>
            </w:r>
          </w:p>
        </w:tc>
        <w:tc>
          <w:tcPr>
            <w:tcW w:w="4292" w:type="dxa"/>
            <w:tcBorders>
              <w:bottom w:val="single" w:sz="4" w:space="0" w:color="auto"/>
            </w:tcBorders>
            <w:shd w:val="clear" w:color="auto" w:fill="auto"/>
          </w:tcPr>
          <w:p w14:paraId="212B32E8" w14:textId="6FE86C21" w:rsidR="00241BC9" w:rsidRPr="00912EDF" w:rsidRDefault="00241BC9" w:rsidP="00241BC9">
            <w:pPr>
              <w:spacing w:after="0"/>
              <w:rPr>
                <w:szCs w:val="22"/>
                <w:lang w:val="en-US" w:eastAsia="en-US"/>
              </w:rPr>
            </w:pPr>
            <w:r w:rsidRPr="00983483">
              <w:rPr>
                <w:color w:val="1F497D" w:themeColor="text2"/>
              </w:rPr>
              <w:t>Desirable languages:</w:t>
            </w:r>
            <w:r>
              <w:rPr>
                <w:color w:val="FF0000"/>
                <w:szCs w:val="22"/>
              </w:rPr>
              <w:t xml:space="preserve"> </w:t>
            </w:r>
            <w:r w:rsidR="00912EDF" w:rsidRPr="00877D02">
              <w:rPr>
                <w:szCs w:val="22"/>
                <w:lang w:val="en-US" w:eastAsia="en-US"/>
              </w:rPr>
              <w:t>knowledge of local language</w:t>
            </w:r>
            <w:r w:rsidR="00912EDF">
              <w:rPr>
                <w:szCs w:val="22"/>
                <w:lang w:val="en-US" w:eastAsia="en-US"/>
              </w:rPr>
              <w:t xml:space="preserve"> </w:t>
            </w:r>
            <w:r w:rsidR="00912EDF" w:rsidRPr="00877D02">
              <w:rPr>
                <w:szCs w:val="22"/>
                <w:lang w:val="en-US" w:eastAsia="en-US"/>
              </w:rPr>
              <w:t xml:space="preserve">Chichewa </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Inclusion and respect for diversity:</w:t>
            </w:r>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maintains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Delivering results</w:t>
            </w:r>
            <w:r w:rsidRPr="00C3534F">
              <w:rPr>
                <w:szCs w:val="22"/>
                <w:u w:val="single"/>
              </w:rPr>
              <w:t>:</w:t>
            </w:r>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Managing and sharing knowledge</w:t>
            </w:r>
            <w:r w:rsidRPr="00C3534F">
              <w:rPr>
                <w:szCs w:val="22"/>
                <w:u w:val="single"/>
              </w:rPr>
              <w:t>:</w:t>
            </w:r>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lastRenderedPageBreak/>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programmes and activities;</w:t>
            </w:r>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7B9112FB" w14:textId="712FE813" w:rsidR="00C3534F" w:rsidRPr="00A16163" w:rsidRDefault="00C3534F" w:rsidP="00C3534F">
            <w:pPr>
              <w:spacing w:after="0"/>
              <w:rPr>
                <w:szCs w:val="22"/>
              </w:rPr>
            </w:pPr>
            <w:bookmarkStart w:id="0" w:name="_GoBack"/>
            <w:bookmarkEnd w:id="0"/>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79E3B3" w14:textId="77777777" w:rsidR="0074580C" w:rsidRDefault="0074580C" w:rsidP="00F7350B">
      <w:r>
        <w:separator/>
      </w:r>
    </w:p>
  </w:endnote>
  <w:endnote w:type="continuationSeparator" w:id="0">
    <w:p w14:paraId="0AA8DEF8" w14:textId="77777777" w:rsidR="0074580C" w:rsidRDefault="0074580C"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C6FF1" w14:textId="77777777" w:rsidR="0074580C" w:rsidRDefault="0074580C" w:rsidP="00F7350B">
      <w:r>
        <w:separator/>
      </w:r>
    </w:p>
  </w:footnote>
  <w:footnote w:type="continuationSeparator" w:id="0">
    <w:p w14:paraId="760F8A95" w14:textId="77777777" w:rsidR="0074580C" w:rsidRDefault="0074580C"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1B0F41"/>
    <w:multiLevelType w:val="hybridMultilevel"/>
    <w:tmpl w:val="D8886C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B558D5"/>
    <w:multiLevelType w:val="hybridMultilevel"/>
    <w:tmpl w:val="396414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0956FE"/>
    <w:multiLevelType w:val="hybridMultilevel"/>
    <w:tmpl w:val="CC9407DC"/>
    <w:lvl w:ilvl="0" w:tplc="A62C659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C129F0"/>
    <w:multiLevelType w:val="hybridMultilevel"/>
    <w:tmpl w:val="4A7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DDC3285"/>
    <w:multiLevelType w:val="hybridMultilevel"/>
    <w:tmpl w:val="900474F2"/>
    <w:lvl w:ilvl="0" w:tplc="8BBADFE2">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7"/>
  </w:num>
  <w:num w:numId="3">
    <w:abstractNumId w:val="18"/>
  </w:num>
  <w:num w:numId="4">
    <w:abstractNumId w:val="7"/>
  </w:num>
  <w:num w:numId="5">
    <w:abstractNumId w:val="5"/>
  </w:num>
  <w:num w:numId="6">
    <w:abstractNumId w:val="3"/>
  </w:num>
  <w:num w:numId="7">
    <w:abstractNumId w:val="13"/>
  </w:num>
  <w:num w:numId="8">
    <w:abstractNumId w:val="15"/>
  </w:num>
  <w:num w:numId="9">
    <w:abstractNumId w:val="15"/>
  </w:num>
  <w:num w:numId="10">
    <w:abstractNumId w:val="15"/>
  </w:num>
  <w:num w:numId="11">
    <w:abstractNumId w:val="22"/>
  </w:num>
  <w:num w:numId="12">
    <w:abstractNumId w:val="15"/>
  </w:num>
  <w:num w:numId="13">
    <w:abstractNumId w:val="15"/>
  </w:num>
  <w:num w:numId="14">
    <w:abstractNumId w:val="15"/>
  </w:num>
  <w:num w:numId="15">
    <w:abstractNumId w:val="12"/>
  </w:num>
  <w:num w:numId="16">
    <w:abstractNumId w:val="15"/>
  </w:num>
  <w:num w:numId="17">
    <w:abstractNumId w:val="26"/>
  </w:num>
  <w:num w:numId="18">
    <w:abstractNumId w:val="23"/>
  </w:num>
  <w:num w:numId="19">
    <w:abstractNumId w:val="28"/>
  </w:num>
  <w:num w:numId="20">
    <w:abstractNumId w:val="21"/>
  </w:num>
  <w:num w:numId="21">
    <w:abstractNumId w:val="20"/>
  </w:num>
  <w:num w:numId="22">
    <w:abstractNumId w:val="11"/>
  </w:num>
  <w:num w:numId="23">
    <w:abstractNumId w:val="25"/>
  </w:num>
  <w:num w:numId="24">
    <w:abstractNumId w:val="8"/>
  </w:num>
  <w:num w:numId="25">
    <w:abstractNumId w:val="15"/>
  </w:num>
  <w:num w:numId="26">
    <w:abstractNumId w:val="10"/>
  </w:num>
  <w:num w:numId="27">
    <w:abstractNumId w:val="6"/>
  </w:num>
  <w:num w:numId="28">
    <w:abstractNumId w:val="9"/>
  </w:num>
  <w:num w:numId="29">
    <w:abstractNumId w:val="2"/>
  </w:num>
  <w:num w:numId="30">
    <w:abstractNumId w:val="4"/>
  </w:num>
  <w:num w:numId="31">
    <w:abstractNumId w:val="0"/>
  </w:num>
  <w:num w:numId="32">
    <w:abstractNumId w:val="15"/>
  </w:num>
  <w:num w:numId="33">
    <w:abstractNumId w:val="15"/>
  </w:num>
  <w:num w:numId="34">
    <w:abstractNumId w:val="24"/>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
  </w:num>
  <w:num w:numId="38">
    <w:abstractNumId w:val="19"/>
  </w:num>
  <w:num w:numId="39">
    <w:abstractNumId w:val="14"/>
  </w:num>
  <w:num w:numId="4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008B"/>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47FDC"/>
    <w:rsid w:val="00452FD1"/>
    <w:rsid w:val="00455889"/>
    <w:rsid w:val="00455E8C"/>
    <w:rsid w:val="00456CF0"/>
    <w:rsid w:val="00460970"/>
    <w:rsid w:val="00463602"/>
    <w:rsid w:val="00474F4F"/>
    <w:rsid w:val="004756D5"/>
    <w:rsid w:val="00475A51"/>
    <w:rsid w:val="00476663"/>
    <w:rsid w:val="004767A6"/>
    <w:rsid w:val="00481D71"/>
    <w:rsid w:val="00482347"/>
    <w:rsid w:val="00482A06"/>
    <w:rsid w:val="004831F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0BBA"/>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B84"/>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4719"/>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17585"/>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580C"/>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2EDF"/>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4154"/>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169E7"/>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709"/>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6853"/>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959FC"/>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26734117">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3B9C5FE9-FB5A-41A0-8C8F-DF026C79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1613</Words>
  <Characters>9195</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Nomagugu</cp:lastModifiedBy>
  <cp:revision>2</cp:revision>
  <cp:lastPrinted>2012-02-09T06:27:00Z</cp:lastPrinted>
  <dcterms:created xsi:type="dcterms:W3CDTF">2023-02-15T13:47:00Z</dcterms:created>
  <dcterms:modified xsi:type="dcterms:W3CDTF">2023-02-15T13:47:00Z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