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163A012A"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00503FF3" w:rsidRPr="00106071">
        <w:rPr>
          <w:rFonts w:asciiTheme="minorHAnsi" w:hAnsiTheme="minorHAnsi" w:cs="Arial"/>
          <w:b/>
          <w:bCs/>
          <w:lang w:val="en-GB"/>
        </w:rPr>
        <w:t>City Resilience Intern</w:t>
      </w:r>
      <w:r w:rsidR="00A2652A">
        <w:rPr>
          <w:rFonts w:asciiTheme="minorHAnsi" w:hAnsiTheme="minorHAnsi" w:cs="Arial"/>
          <w:b/>
          <w:bCs/>
          <w:lang w:val="en-GB"/>
        </w:rPr>
        <w:t xml:space="preserve"> (Ukraine focused)</w:t>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23018ADA"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03FF3">
        <w:rPr>
          <w:rFonts w:asciiTheme="minorHAnsi" w:hAnsiTheme="minorHAnsi" w:cs="Arial"/>
          <w:lang w:val="en-GB"/>
        </w:rPr>
        <w:t xml:space="preserve"> Innovation and local economic development</w:t>
      </w:r>
      <w:r w:rsidR="005539A9">
        <w:rPr>
          <w:rFonts w:asciiTheme="minorHAnsi" w:hAnsiTheme="minorHAnsi" w:cs="Arial"/>
          <w:lang w:val="en-GB"/>
        </w:rPr>
        <w:tab/>
      </w:r>
    </w:p>
    <w:p w14:paraId="67D59395" w14:textId="204A2BBE"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503FF3">
        <w:rPr>
          <w:rFonts w:asciiTheme="minorHAnsi" w:hAnsiTheme="minorHAnsi" w:cs="Arial"/>
          <w:lang w:val="en-GB"/>
        </w:rPr>
        <w:t>Innovation Team, Istanbul Regional Hub/Regional Bureau for Eurasia</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1F0190C4"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03FF3">
        <w:rPr>
          <w:rFonts w:asciiTheme="minorHAnsi" w:hAnsiTheme="minorHAnsi" w:cs="Arial"/>
        </w:rPr>
        <w:t>Istanbul, Turkey</w:t>
      </w:r>
    </w:p>
    <w:p w14:paraId="078B9725" w14:textId="22C7DBF5"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503FF3">
        <w:rPr>
          <w:rFonts w:asciiTheme="minorHAnsi" w:hAnsiTheme="minorHAnsi" w:cs="Arial"/>
          <w:lang w:val="en-GB"/>
        </w:rPr>
        <w:t>6-9 months</w:t>
      </w:r>
      <w:r w:rsidR="00427159">
        <w:rPr>
          <w:rFonts w:asciiTheme="minorHAnsi" w:hAnsiTheme="minorHAnsi" w:cs="Arial"/>
          <w:lang w:val="en-GB"/>
        </w:rPr>
        <w:t xml:space="preserve"> (flexible)</w:t>
      </w:r>
    </w:p>
    <w:p w14:paraId="15C313DA" w14:textId="0C413DA4"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503FF3">
        <w:rPr>
          <w:rFonts w:asciiTheme="minorHAnsi" w:hAnsiTheme="minorHAnsi" w:cs="Arial"/>
          <w:lang w:val="en-GB"/>
        </w:rPr>
        <w:t xml:space="preserve"> Fall 202</w:t>
      </w:r>
      <w:r w:rsidR="00A72CAD">
        <w:rPr>
          <w:rFonts w:asciiTheme="minorHAnsi" w:hAnsiTheme="minorHAnsi" w:cs="Arial"/>
          <w:lang w:val="en-GB"/>
        </w:rPr>
        <w:t>3</w:t>
      </w:r>
    </w:p>
    <w:p w14:paraId="4A699A6C" w14:textId="1C10E4D8"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503FF3">
        <w:rPr>
          <w:rFonts w:asciiTheme="minorHAnsi" w:hAnsiTheme="minorHAnsi" w:cs="Arial"/>
          <w:lang w:val="en-GB"/>
        </w:rPr>
        <w:t xml:space="preserve"> Tina Maria Saeteraas Stoum</w:t>
      </w:r>
      <w:r w:rsidRPr="00A13D39">
        <w:rPr>
          <w:rFonts w:asciiTheme="minorHAnsi" w:hAnsiTheme="minorHAnsi" w:cs="Arial"/>
          <w:lang w:val="en-GB"/>
        </w:rPr>
        <w:tab/>
      </w:r>
    </w:p>
    <w:p w14:paraId="440A3199" w14:textId="530761AD"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503FF3">
        <w:rPr>
          <w:rFonts w:asciiTheme="minorHAnsi" w:hAnsiTheme="minorHAnsi" w:cs="Arial"/>
          <w:lang w:val="en-GB"/>
        </w:rPr>
        <w:t xml:space="preserve"> Regional Project Manager</w:t>
      </w:r>
      <w:r w:rsidR="00427159">
        <w:rPr>
          <w:rFonts w:asciiTheme="minorHAnsi" w:hAnsiTheme="minorHAnsi" w:cs="Arial"/>
          <w:lang w:val="en-GB"/>
        </w:rPr>
        <w:t xml:space="preserve"> (P4)</w:t>
      </w:r>
      <w:r w:rsidR="00503FF3">
        <w:rPr>
          <w:rFonts w:asciiTheme="minorHAnsi" w:hAnsiTheme="minorHAnsi" w:cs="Arial"/>
          <w:lang w:val="en-GB"/>
        </w:rPr>
        <w:t>, Mayors for Economic Growth Facility</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54FEC798" w14:textId="450A4A1E" w:rsidR="00792693" w:rsidRPr="00794F45" w:rsidRDefault="00792693" w:rsidP="00525ACD">
      <w:pPr>
        <w:spacing w:line="293" w:lineRule="atLeast"/>
        <w:jc w:val="both"/>
        <w:textAlignment w:val="baseline"/>
        <w:rPr>
          <w:rFonts w:eastAsia="Times New Roman" w:cstheme="minorHAnsi"/>
        </w:rPr>
      </w:pPr>
      <w:r w:rsidRPr="00792693">
        <w:rPr>
          <w:rFonts w:asciiTheme="minorHAnsi" w:hAnsiTheme="minorHAnsi" w:cs="Arial"/>
        </w:rPr>
        <w:t xml:space="preserve">Istanbul Regional Hub (IRH) is UNDP’s main knowledge and advisory hub for the Europe and CIS Region (ECIS). It aims to connect the region to a global network of development experts, to build knowledge and capacity, and to forge partnerships to meet the development challenges of a large and diverse region. </w:t>
      </w:r>
    </w:p>
    <w:p w14:paraId="673BFA1B" w14:textId="77777777" w:rsidR="00525ACD" w:rsidRDefault="00525ACD" w:rsidP="00792693">
      <w:pPr>
        <w:spacing w:line="293" w:lineRule="atLeast"/>
        <w:jc w:val="both"/>
        <w:textAlignment w:val="baseline"/>
        <w:rPr>
          <w:rFonts w:asciiTheme="minorHAnsi" w:eastAsia="Times New Roman" w:hAnsiTheme="minorHAnsi" w:cstheme="minorHAnsi"/>
        </w:rPr>
      </w:pPr>
    </w:p>
    <w:p w14:paraId="4D3C0502" w14:textId="4BAD32FC" w:rsidR="00792693" w:rsidRDefault="00792693" w:rsidP="00792693">
      <w:pPr>
        <w:spacing w:line="293" w:lineRule="atLeast"/>
        <w:jc w:val="both"/>
        <w:textAlignment w:val="baseline"/>
        <w:rPr>
          <w:rFonts w:asciiTheme="minorHAnsi" w:hAnsiTheme="minorHAnsi" w:cstheme="minorHAnsi"/>
        </w:rPr>
      </w:pPr>
      <w:r w:rsidRPr="00792693">
        <w:rPr>
          <w:rFonts w:asciiTheme="minorHAnsi" w:eastAsia="Times New Roman" w:hAnsiTheme="minorHAnsi" w:cstheme="minorHAnsi"/>
        </w:rPr>
        <w:t>UNDP IRH is implementing a joint EU&amp;UNDP initiative called the “</w:t>
      </w:r>
      <w:hyperlink r:id="rId11" w:history="1">
        <w:r w:rsidRPr="00792693">
          <w:rPr>
            <w:rStyle w:val="Hyperlink"/>
            <w:rFonts w:asciiTheme="minorHAnsi" w:eastAsia="Times New Roman" w:hAnsiTheme="minorHAnsi" w:cstheme="minorHAnsi"/>
          </w:rPr>
          <w:t>Mayors for Economic Growth</w:t>
        </w:r>
      </w:hyperlink>
      <w:r w:rsidRPr="00792693">
        <w:rPr>
          <w:rFonts w:asciiTheme="minorHAnsi" w:eastAsia="Times New Roman" w:hAnsiTheme="minorHAnsi" w:cstheme="minorHAnsi"/>
        </w:rPr>
        <w:t xml:space="preserve"> (M4EG) Facility”. </w:t>
      </w:r>
      <w:r w:rsidRPr="00792693">
        <w:rPr>
          <w:rFonts w:asciiTheme="minorHAnsi" w:hAnsiTheme="minorHAnsi" w:cstheme="minorHAnsi"/>
        </w:rPr>
        <w:t xml:space="preserve">The M4EG Facility targets an existing network of more than 350 local authorities/municipalities in the Eastern Partnership countries (Armenia, Azerbaijan, Georgia, Moldova and Ukraine). The intention of the M4EG is to explore means to </w:t>
      </w:r>
      <w:hyperlink r:id="rId12" w:history="1">
        <w:r w:rsidRPr="00792693">
          <w:rPr>
            <w:rStyle w:val="Hyperlink"/>
            <w:rFonts w:asciiTheme="minorHAnsi" w:hAnsiTheme="minorHAnsi" w:cstheme="minorHAnsi"/>
          </w:rPr>
          <w:t>‘embrace complexity’</w:t>
        </w:r>
      </w:hyperlink>
      <w:r w:rsidRPr="00792693">
        <w:rPr>
          <w:rFonts w:asciiTheme="minorHAnsi" w:hAnsiTheme="minorHAnsi" w:cstheme="minorHAnsi"/>
        </w:rPr>
        <w:t xml:space="preserve"> to foster more resilient, sustainable, and attractive towns and cities through new innovative tools and approaches.</w:t>
      </w:r>
    </w:p>
    <w:p w14:paraId="6DD85581" w14:textId="77777777" w:rsidR="00634DEC" w:rsidRDefault="00634DEC" w:rsidP="00792693">
      <w:pPr>
        <w:spacing w:line="293" w:lineRule="atLeast"/>
        <w:jc w:val="both"/>
        <w:textAlignment w:val="baseline"/>
        <w:rPr>
          <w:rFonts w:asciiTheme="minorHAnsi" w:hAnsiTheme="minorHAnsi" w:cstheme="minorHAnsi"/>
        </w:rPr>
      </w:pPr>
    </w:p>
    <w:p w14:paraId="1E8A2FA8" w14:textId="1F8C7710" w:rsidR="00634DEC" w:rsidRDefault="00634DEC" w:rsidP="00792693">
      <w:pPr>
        <w:spacing w:line="293" w:lineRule="atLeast"/>
        <w:jc w:val="both"/>
        <w:textAlignment w:val="baseline"/>
        <w:rPr>
          <w:rFonts w:asciiTheme="minorHAnsi" w:hAnsiTheme="minorHAnsi" w:cstheme="minorHAnsi"/>
        </w:rPr>
      </w:pPr>
      <w:r>
        <w:rPr>
          <w:rFonts w:asciiTheme="minorHAnsi" w:hAnsiTheme="minorHAnsi" w:cstheme="minorHAnsi"/>
        </w:rPr>
        <w:t xml:space="preserve">As </w:t>
      </w:r>
      <w:r w:rsidR="009656EF">
        <w:rPr>
          <w:rFonts w:asciiTheme="minorHAnsi" w:hAnsiTheme="minorHAnsi" w:cstheme="minorHAnsi"/>
        </w:rPr>
        <w:t>about 200</w:t>
      </w:r>
      <w:r>
        <w:rPr>
          <w:rFonts w:asciiTheme="minorHAnsi" w:hAnsiTheme="minorHAnsi" w:cstheme="minorHAnsi"/>
        </w:rPr>
        <w:t xml:space="preserve"> </w:t>
      </w:r>
      <w:r w:rsidR="00BE73BE">
        <w:rPr>
          <w:rFonts w:asciiTheme="minorHAnsi" w:hAnsiTheme="minorHAnsi" w:cstheme="minorHAnsi"/>
        </w:rPr>
        <w:t xml:space="preserve">members of the M4EG are based in Moldova and Ukraine, </w:t>
      </w:r>
      <w:r w:rsidR="00B3258C">
        <w:rPr>
          <w:rFonts w:asciiTheme="minorHAnsi" w:hAnsiTheme="minorHAnsi" w:cstheme="minorHAnsi"/>
        </w:rPr>
        <w:t>a new key focus in 202</w:t>
      </w:r>
      <w:r w:rsidR="00A2652A">
        <w:rPr>
          <w:rFonts w:asciiTheme="minorHAnsi" w:hAnsiTheme="minorHAnsi" w:cstheme="minorHAnsi"/>
        </w:rPr>
        <w:t>3</w:t>
      </w:r>
      <w:r w:rsidR="00B3258C">
        <w:rPr>
          <w:rFonts w:asciiTheme="minorHAnsi" w:hAnsiTheme="minorHAnsi" w:cstheme="minorHAnsi"/>
        </w:rPr>
        <w:t xml:space="preserve"> is </w:t>
      </w:r>
      <w:r w:rsidR="00415780">
        <w:rPr>
          <w:rFonts w:asciiTheme="minorHAnsi" w:hAnsiTheme="minorHAnsi" w:cstheme="minorHAnsi"/>
        </w:rPr>
        <w:t xml:space="preserve">building an offer to the municipalities around </w:t>
      </w:r>
      <w:r w:rsidR="00EF2A7A">
        <w:rPr>
          <w:rFonts w:asciiTheme="minorHAnsi" w:hAnsiTheme="minorHAnsi" w:cstheme="minorHAnsi"/>
        </w:rPr>
        <w:t xml:space="preserve">applying a system lens to resilience, recovery and renewal during and after the conflict. </w:t>
      </w:r>
      <w:r w:rsidR="00F80B1F">
        <w:rPr>
          <w:rFonts w:asciiTheme="minorHAnsi" w:hAnsiTheme="minorHAnsi" w:cstheme="minorHAnsi"/>
        </w:rPr>
        <w:t xml:space="preserve">Hence, the M4EG regional team is </w:t>
      </w:r>
      <w:r w:rsidR="0038488D">
        <w:rPr>
          <w:rFonts w:asciiTheme="minorHAnsi" w:hAnsiTheme="minorHAnsi" w:cstheme="minorHAnsi"/>
        </w:rPr>
        <w:t xml:space="preserve">working alongside a wide range of internationally recognized technical providers to </w:t>
      </w:r>
      <w:r w:rsidR="00D83735">
        <w:rPr>
          <w:rFonts w:asciiTheme="minorHAnsi" w:hAnsiTheme="minorHAnsi" w:cstheme="minorHAnsi"/>
        </w:rPr>
        <w:t xml:space="preserve">develop a catalogue of options for local </w:t>
      </w:r>
      <w:r w:rsidR="00233FA4">
        <w:rPr>
          <w:rFonts w:asciiTheme="minorHAnsi" w:hAnsiTheme="minorHAnsi" w:cstheme="minorHAnsi"/>
        </w:rPr>
        <w:t>governments’ enhanced resilience</w:t>
      </w:r>
      <w:r w:rsidR="00D83735">
        <w:rPr>
          <w:rFonts w:asciiTheme="minorHAnsi" w:hAnsiTheme="minorHAnsi" w:cstheme="minorHAnsi"/>
        </w:rPr>
        <w:t xml:space="preserve"> in the region</w:t>
      </w:r>
      <w:r w:rsidR="00A7780C">
        <w:rPr>
          <w:rFonts w:asciiTheme="minorHAnsi" w:hAnsiTheme="minorHAnsi" w:cstheme="minorHAnsi"/>
        </w:rPr>
        <w:t>, including through the forthcoming Urban Learning Center.</w:t>
      </w:r>
      <w:r w:rsidR="009656EF">
        <w:rPr>
          <w:rFonts w:asciiTheme="minorHAnsi" w:hAnsiTheme="minorHAnsi" w:cstheme="minorHAnsi"/>
        </w:rPr>
        <w:t xml:space="preserve"> </w:t>
      </w:r>
    </w:p>
    <w:p w14:paraId="6FCD4849" w14:textId="77777777" w:rsidR="009656EF" w:rsidRDefault="009656EF" w:rsidP="00792693">
      <w:pPr>
        <w:spacing w:line="293" w:lineRule="atLeast"/>
        <w:jc w:val="both"/>
        <w:textAlignment w:val="baseline"/>
        <w:rPr>
          <w:rFonts w:asciiTheme="minorHAnsi" w:hAnsiTheme="minorHAnsi" w:cstheme="minorHAnsi"/>
        </w:rPr>
      </w:pPr>
    </w:p>
    <w:p w14:paraId="0B9D07E4" w14:textId="7E5E2DB7" w:rsidR="009656EF" w:rsidRPr="00792693" w:rsidRDefault="009656EF" w:rsidP="00792693">
      <w:pPr>
        <w:spacing w:line="293" w:lineRule="atLeast"/>
        <w:jc w:val="both"/>
        <w:textAlignment w:val="baseline"/>
        <w:rPr>
          <w:rFonts w:asciiTheme="minorHAnsi" w:eastAsia="Times New Roman" w:hAnsiTheme="minorHAnsi" w:cstheme="minorHAnsi"/>
        </w:rPr>
      </w:pPr>
      <w:r>
        <w:rPr>
          <w:rFonts w:asciiTheme="minorHAnsi" w:hAnsiTheme="minorHAnsi" w:cstheme="minorHAnsi"/>
        </w:rPr>
        <w:t>More specifically, in 2023, two cities, Mykolaiv and Ternopil, are support</w:t>
      </w:r>
      <w:r w:rsidR="000D39F5">
        <w:rPr>
          <w:rFonts w:asciiTheme="minorHAnsi" w:hAnsiTheme="minorHAnsi" w:cstheme="minorHAnsi"/>
        </w:rPr>
        <w:t>ed</w:t>
      </w:r>
      <w:r>
        <w:rPr>
          <w:rFonts w:asciiTheme="minorHAnsi" w:hAnsiTheme="minorHAnsi" w:cstheme="minorHAnsi"/>
        </w:rPr>
        <w:t xml:space="preserve"> under the Portfolio Journey </w:t>
      </w:r>
      <w:r w:rsidR="000D39F5">
        <w:rPr>
          <w:rFonts w:asciiTheme="minorHAnsi" w:hAnsiTheme="minorHAnsi" w:cstheme="minorHAnsi"/>
        </w:rPr>
        <w:t>of M4EG and</w:t>
      </w:r>
      <w:r w:rsidR="00610B72">
        <w:rPr>
          <w:rFonts w:asciiTheme="minorHAnsi" w:hAnsiTheme="minorHAnsi" w:cstheme="minorHAnsi"/>
        </w:rPr>
        <w:t xml:space="preserve"> will design and activate a system thinking approach to urban transformation. Both cities will receive learning </w:t>
      </w:r>
      <w:r w:rsidR="00610B72">
        <w:rPr>
          <w:rFonts w:asciiTheme="minorHAnsi" w:hAnsiTheme="minorHAnsi" w:cstheme="minorHAnsi"/>
        </w:rPr>
        <w:lastRenderedPageBreak/>
        <w:t xml:space="preserve">and seed-fund opportunities </w:t>
      </w:r>
      <w:r w:rsidR="00267CDF">
        <w:rPr>
          <w:rFonts w:asciiTheme="minorHAnsi" w:hAnsiTheme="minorHAnsi" w:cstheme="minorHAnsi"/>
        </w:rPr>
        <w:t xml:space="preserve">up to EUR 225,000 </w:t>
      </w:r>
      <w:r w:rsidR="00610B72">
        <w:rPr>
          <w:rFonts w:asciiTheme="minorHAnsi" w:hAnsiTheme="minorHAnsi" w:cstheme="minorHAnsi"/>
        </w:rPr>
        <w:t>as part of this</w:t>
      </w:r>
      <w:r w:rsidR="00267CDF">
        <w:rPr>
          <w:rFonts w:asciiTheme="minorHAnsi" w:hAnsiTheme="minorHAnsi" w:cstheme="minorHAnsi"/>
        </w:rPr>
        <w:t xml:space="preserve"> 2 year engagement. Additionally, in October 2022, the </w:t>
      </w:r>
      <w:r w:rsidR="001C2337">
        <w:rPr>
          <w:rFonts w:asciiTheme="minorHAnsi" w:hAnsiTheme="minorHAnsi" w:cstheme="minorHAnsi"/>
        </w:rPr>
        <w:t xml:space="preserve">new component under M4EG called EU Response and Renewal Programme was launched and will support up to 20 local initiatives in Ukraine and Moldova around immediate emergency response </w:t>
      </w:r>
      <w:r w:rsidR="00020C12">
        <w:rPr>
          <w:rFonts w:asciiTheme="minorHAnsi" w:hAnsiTheme="minorHAnsi" w:cstheme="minorHAnsi"/>
        </w:rPr>
        <w:t>and more longer efforts to re-think their local urban development.</w:t>
      </w:r>
    </w:p>
    <w:p w14:paraId="6B86CBE5" w14:textId="61051782" w:rsidR="00D20CAA" w:rsidRPr="00792693" w:rsidRDefault="00D20CAA">
      <w:pPr>
        <w:rPr>
          <w:rFonts w:asciiTheme="minorHAnsi" w:hAnsiTheme="minorHAnsi" w:cs="Arial"/>
          <w: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44EA4C8E" w:rsidR="007F00C2" w:rsidRPr="007F00C2" w:rsidRDefault="00E541B4" w:rsidP="007F00C2">
            <w:pPr>
              <w:rPr>
                <w:rFonts w:asciiTheme="minorHAnsi" w:hAnsiTheme="minorHAnsi"/>
                <w:b/>
                <w:lang w:val="en-GB"/>
              </w:rPr>
            </w:pPr>
            <w:r>
              <w:rPr>
                <w:rFonts w:asciiTheme="minorHAnsi" w:hAnsiTheme="minorHAnsi"/>
                <w:b/>
                <w:lang w:val="en-GB"/>
              </w:rPr>
              <w:t>Coordination:</w:t>
            </w:r>
          </w:p>
          <w:p w14:paraId="6804146C" w14:textId="443CE555" w:rsidR="00E541B4" w:rsidRPr="00E541B4" w:rsidRDefault="00E541B4" w:rsidP="00E541B4">
            <w:pPr>
              <w:numPr>
                <w:ilvl w:val="0"/>
                <w:numId w:val="24"/>
              </w:numPr>
              <w:spacing w:line="293" w:lineRule="atLeast"/>
              <w:textAlignment w:val="baseline"/>
              <w:rPr>
                <w:rFonts w:asciiTheme="minorHAnsi" w:hAnsiTheme="minorHAnsi" w:cs="Arial"/>
                <w:lang w:val="en-GB"/>
              </w:rPr>
            </w:pPr>
            <w:r w:rsidRPr="00E541B4">
              <w:rPr>
                <w:rFonts w:asciiTheme="minorHAnsi" w:hAnsiTheme="minorHAnsi" w:cs="Arial"/>
                <w:lang w:val="en-GB"/>
              </w:rPr>
              <w:t>Logistical</w:t>
            </w:r>
            <w:r w:rsidR="000417CD">
              <w:rPr>
                <w:rFonts w:asciiTheme="minorHAnsi" w:hAnsiTheme="minorHAnsi" w:cs="Arial"/>
                <w:lang w:val="en-GB"/>
              </w:rPr>
              <w:t xml:space="preserve"> and facilitation</w:t>
            </w:r>
            <w:r w:rsidRPr="00E541B4">
              <w:rPr>
                <w:rFonts w:asciiTheme="minorHAnsi" w:hAnsiTheme="minorHAnsi" w:cs="Arial"/>
                <w:lang w:val="en-GB"/>
              </w:rPr>
              <w:t xml:space="preserve"> support to organize meetings, webinars</w:t>
            </w:r>
            <w:r w:rsidR="00D216CC">
              <w:rPr>
                <w:rFonts w:asciiTheme="minorHAnsi" w:hAnsiTheme="minorHAnsi" w:cs="Arial"/>
                <w:lang w:val="en-GB"/>
              </w:rPr>
              <w:t xml:space="preserve">, hybrid courses </w:t>
            </w:r>
            <w:r w:rsidRPr="00E541B4">
              <w:rPr>
                <w:rFonts w:asciiTheme="minorHAnsi" w:hAnsiTheme="minorHAnsi" w:cs="Arial"/>
                <w:lang w:val="en-GB"/>
              </w:rPr>
              <w:t xml:space="preserve">with participating </w:t>
            </w:r>
            <w:r w:rsidRPr="00A16967">
              <w:rPr>
                <w:rFonts w:asciiTheme="minorHAnsi" w:hAnsiTheme="minorHAnsi" w:cs="Arial"/>
                <w:lang w:val="en-GB"/>
              </w:rPr>
              <w:t>UNDP Country Offices</w:t>
            </w:r>
            <w:r w:rsidR="00530092" w:rsidRPr="00A16967">
              <w:rPr>
                <w:rFonts w:asciiTheme="minorHAnsi" w:hAnsiTheme="minorHAnsi" w:cs="Arial"/>
                <w:lang w:val="en-GB"/>
              </w:rPr>
              <w:t>, technical providers and municipalities</w:t>
            </w:r>
            <w:r w:rsidR="000417CD">
              <w:rPr>
                <w:rFonts w:asciiTheme="minorHAnsi" w:hAnsiTheme="minorHAnsi" w:cs="Arial"/>
                <w:lang w:val="en-GB"/>
              </w:rPr>
              <w:t xml:space="preserve"> in Ukraine, and Moldova if needed.</w:t>
            </w:r>
          </w:p>
          <w:p w14:paraId="7F906FD6" w14:textId="4E5E8E47" w:rsidR="00E541B4" w:rsidRPr="00E541B4" w:rsidRDefault="00E541B4" w:rsidP="00E541B4">
            <w:pPr>
              <w:numPr>
                <w:ilvl w:val="0"/>
                <w:numId w:val="24"/>
              </w:numPr>
              <w:spacing w:line="293" w:lineRule="atLeast"/>
              <w:textAlignment w:val="baseline"/>
              <w:rPr>
                <w:rFonts w:asciiTheme="minorHAnsi" w:hAnsiTheme="minorHAnsi" w:cs="Arial"/>
                <w:lang w:val="en-GB"/>
              </w:rPr>
            </w:pPr>
            <w:r w:rsidRPr="00E541B4">
              <w:rPr>
                <w:rFonts w:asciiTheme="minorHAnsi" w:hAnsiTheme="minorHAnsi" w:cs="Arial"/>
                <w:lang w:val="en-GB"/>
              </w:rPr>
              <w:t xml:space="preserve">Prepare documentation </w:t>
            </w:r>
            <w:r w:rsidR="00223FD8">
              <w:rPr>
                <w:rFonts w:asciiTheme="minorHAnsi" w:hAnsiTheme="minorHAnsi" w:cs="Arial"/>
                <w:lang w:val="en-GB"/>
              </w:rPr>
              <w:t>for the recovery, renewal &amp; resilience learning modules, including</w:t>
            </w:r>
            <w:r w:rsidRPr="00E541B4">
              <w:rPr>
                <w:rFonts w:asciiTheme="minorHAnsi" w:hAnsiTheme="minorHAnsi" w:cs="Arial"/>
                <w:lang w:val="en-GB"/>
              </w:rPr>
              <w:t xml:space="preserve"> Terms of Reference </w:t>
            </w:r>
            <w:r w:rsidR="008A646F">
              <w:rPr>
                <w:rFonts w:asciiTheme="minorHAnsi" w:hAnsiTheme="minorHAnsi" w:cs="Arial"/>
                <w:lang w:val="en-GB"/>
              </w:rPr>
              <w:t xml:space="preserve">for technical providers </w:t>
            </w:r>
            <w:r w:rsidRPr="00E541B4">
              <w:rPr>
                <w:rFonts w:asciiTheme="minorHAnsi" w:hAnsiTheme="minorHAnsi" w:cs="Arial"/>
                <w:lang w:val="en-GB"/>
              </w:rPr>
              <w:t>and Implementation Guidelines</w:t>
            </w:r>
            <w:r w:rsidR="000417CD">
              <w:rPr>
                <w:rFonts w:asciiTheme="minorHAnsi" w:hAnsiTheme="minorHAnsi" w:cs="Arial"/>
                <w:lang w:val="en-GB"/>
              </w:rPr>
              <w:t xml:space="preserve">. </w:t>
            </w:r>
          </w:p>
          <w:p w14:paraId="56C02510" w14:textId="39362F59" w:rsidR="00F64BAA" w:rsidRPr="008A646F" w:rsidRDefault="00463D34" w:rsidP="008A646F">
            <w:pPr>
              <w:pStyle w:val="ListParagraph"/>
              <w:numPr>
                <w:ilvl w:val="0"/>
                <w:numId w:val="24"/>
              </w:numPr>
              <w:rPr>
                <w:rFonts w:asciiTheme="minorHAnsi" w:hAnsiTheme="minorHAnsi" w:cs="Arial"/>
                <w:lang w:val="en-GB"/>
              </w:rPr>
            </w:pPr>
            <w:r w:rsidRPr="00A16967">
              <w:rPr>
                <w:rFonts w:asciiTheme="minorHAnsi" w:hAnsiTheme="minorHAnsi" w:cs="Arial"/>
                <w:lang w:val="en-GB"/>
              </w:rPr>
              <w:t xml:space="preserve">Coordinate and help synthesise learning from the M4EG members, </w:t>
            </w:r>
            <w:r w:rsidR="0025328F">
              <w:rPr>
                <w:rFonts w:asciiTheme="minorHAnsi" w:hAnsiTheme="minorHAnsi" w:cs="Arial"/>
                <w:lang w:val="en-GB"/>
              </w:rPr>
              <w:t>with a focus on</w:t>
            </w:r>
            <w:r w:rsidRPr="00A16967">
              <w:rPr>
                <w:rFonts w:asciiTheme="minorHAnsi" w:hAnsiTheme="minorHAnsi" w:cs="Arial"/>
                <w:lang w:val="en-GB"/>
              </w:rPr>
              <w:t xml:space="preserve"> </w:t>
            </w:r>
            <w:r w:rsidR="004C0921" w:rsidRPr="00A16967">
              <w:rPr>
                <w:rFonts w:asciiTheme="minorHAnsi" w:hAnsiTheme="minorHAnsi" w:cs="Arial"/>
                <w:lang w:val="en-GB"/>
              </w:rPr>
              <w:t xml:space="preserve">municipalities in </w:t>
            </w:r>
            <w:r w:rsidRPr="00A16967">
              <w:rPr>
                <w:rFonts w:asciiTheme="minorHAnsi" w:hAnsiTheme="minorHAnsi" w:cs="Arial"/>
                <w:lang w:val="en-GB"/>
              </w:rPr>
              <w:t>Moldova and Ukraine</w:t>
            </w:r>
            <w:r w:rsidR="008A646F">
              <w:rPr>
                <w:rFonts w:asciiTheme="minorHAnsi" w:hAnsiTheme="minorHAnsi" w:cs="Arial"/>
                <w:lang w:val="en-GB"/>
              </w:rPr>
              <w:t>.</w:t>
            </w:r>
          </w:p>
        </w:tc>
        <w:tc>
          <w:tcPr>
            <w:tcW w:w="1005" w:type="dxa"/>
          </w:tcPr>
          <w:p w14:paraId="245AC64F" w14:textId="4B4A4B12" w:rsidR="00F64BAA" w:rsidRPr="001B6350" w:rsidRDefault="00E84AD7" w:rsidP="00B65404">
            <w:pPr>
              <w:jc w:val="center"/>
              <w:rPr>
                <w:rFonts w:asciiTheme="minorHAnsi" w:hAnsiTheme="minorHAnsi" w:cs="Arial"/>
                <w:b/>
                <w:lang w:val="en-GB"/>
              </w:rPr>
            </w:pPr>
            <w:r>
              <w:rPr>
                <w:rFonts w:asciiTheme="minorHAnsi" w:hAnsiTheme="minorHAnsi" w:cs="Arial"/>
                <w:b/>
                <w:lang w:val="en-GB"/>
              </w:rPr>
              <w:t>6</w:t>
            </w:r>
            <w:r w:rsidR="008852E0">
              <w:rPr>
                <w:rFonts w:asciiTheme="minorHAnsi" w:hAnsiTheme="minorHAnsi" w:cs="Arial"/>
                <w:b/>
                <w:lang w:val="en-GB"/>
              </w:rPr>
              <w:t>0%</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406B22A0" w:rsidR="007F00C2" w:rsidRPr="00F20631" w:rsidRDefault="00E541B4" w:rsidP="007F00C2">
            <w:pPr>
              <w:rPr>
                <w:rFonts w:asciiTheme="minorHAnsi" w:hAnsiTheme="minorHAnsi"/>
                <w:b/>
                <w:bCs/>
                <w:lang w:val="en-GB"/>
              </w:rPr>
            </w:pPr>
            <w:r>
              <w:rPr>
                <w:rFonts w:asciiTheme="minorHAnsi" w:hAnsiTheme="minorHAnsi"/>
                <w:b/>
                <w:bCs/>
                <w:lang w:val="en-GB"/>
              </w:rPr>
              <w:t xml:space="preserve">Research: </w:t>
            </w:r>
          </w:p>
          <w:p w14:paraId="69703C51" w14:textId="0F1ACA9C" w:rsidR="007F00C2" w:rsidRPr="00A16967" w:rsidRDefault="001E2766" w:rsidP="00A16967">
            <w:pPr>
              <w:numPr>
                <w:ilvl w:val="0"/>
                <w:numId w:val="24"/>
              </w:numPr>
              <w:spacing w:line="293" w:lineRule="atLeast"/>
              <w:textAlignment w:val="baseline"/>
              <w:rPr>
                <w:rFonts w:asciiTheme="minorHAnsi" w:hAnsiTheme="minorHAnsi" w:cs="Arial"/>
                <w:lang w:val="en-GB"/>
              </w:rPr>
            </w:pPr>
            <w:r w:rsidRPr="00A16967">
              <w:rPr>
                <w:rFonts w:asciiTheme="minorHAnsi" w:hAnsiTheme="minorHAnsi" w:cs="Arial"/>
                <w:lang w:val="en-GB"/>
              </w:rPr>
              <w:t xml:space="preserve">Prepare background information and conduct research around the City Resilience Index and similar </w:t>
            </w:r>
            <w:r w:rsidR="006252F7" w:rsidRPr="00A16967">
              <w:rPr>
                <w:rFonts w:asciiTheme="minorHAnsi" w:hAnsiTheme="minorHAnsi" w:cs="Arial"/>
                <w:lang w:val="en-GB"/>
              </w:rPr>
              <w:t>initiatives</w:t>
            </w:r>
            <w:r w:rsidR="00A16967">
              <w:rPr>
                <w:rFonts w:asciiTheme="minorHAnsi" w:hAnsiTheme="minorHAnsi" w:cs="Arial"/>
                <w:lang w:val="en-GB"/>
              </w:rPr>
              <w:t xml:space="preserve"> </w:t>
            </w:r>
            <w:r w:rsidR="006252F7" w:rsidRPr="00A16967">
              <w:rPr>
                <w:rFonts w:asciiTheme="minorHAnsi" w:hAnsiTheme="minorHAnsi" w:cs="Arial"/>
                <w:lang w:val="en-GB"/>
              </w:rPr>
              <w:t xml:space="preserve">and engage in discussions around </w:t>
            </w:r>
            <w:r w:rsidR="00A16967">
              <w:rPr>
                <w:rFonts w:asciiTheme="minorHAnsi" w:hAnsiTheme="minorHAnsi" w:cs="Arial"/>
                <w:lang w:val="en-GB"/>
              </w:rPr>
              <w:t>their</w:t>
            </w:r>
            <w:r w:rsidR="006252F7" w:rsidRPr="00A16967">
              <w:rPr>
                <w:rFonts w:asciiTheme="minorHAnsi" w:hAnsiTheme="minorHAnsi" w:cs="Arial"/>
                <w:lang w:val="en-GB"/>
              </w:rPr>
              <w:t xml:space="preserve"> applicability to the Eastern Partnership.</w:t>
            </w:r>
          </w:p>
          <w:p w14:paraId="11C6DACD" w14:textId="28255B09" w:rsidR="007F00C2" w:rsidRPr="00A16967" w:rsidRDefault="000636B1" w:rsidP="00A16967">
            <w:pPr>
              <w:numPr>
                <w:ilvl w:val="0"/>
                <w:numId w:val="24"/>
              </w:numPr>
              <w:spacing w:line="293" w:lineRule="atLeast"/>
              <w:textAlignment w:val="baseline"/>
              <w:rPr>
                <w:rFonts w:asciiTheme="minorHAnsi" w:hAnsiTheme="minorHAnsi" w:cs="Arial"/>
                <w:lang w:val="en-GB"/>
              </w:rPr>
            </w:pPr>
            <w:r w:rsidRPr="00A16967">
              <w:rPr>
                <w:rFonts w:asciiTheme="minorHAnsi" w:hAnsiTheme="minorHAnsi" w:cs="Arial"/>
                <w:lang w:val="en-GB"/>
              </w:rPr>
              <w:t xml:space="preserve">Prepare background information on </w:t>
            </w:r>
            <w:r w:rsidR="001E2766" w:rsidRPr="00A16967">
              <w:rPr>
                <w:rFonts w:asciiTheme="minorHAnsi" w:hAnsiTheme="minorHAnsi" w:cs="Arial"/>
                <w:lang w:val="en-GB"/>
              </w:rPr>
              <w:t>municipalities</w:t>
            </w:r>
            <w:r w:rsidR="00902E3E" w:rsidRPr="00A16967">
              <w:rPr>
                <w:rFonts w:asciiTheme="minorHAnsi" w:hAnsiTheme="minorHAnsi" w:cs="Arial"/>
                <w:lang w:val="en-GB"/>
              </w:rPr>
              <w:t>, particularly around early recovery and resilience aspects</w:t>
            </w:r>
            <w:r w:rsidR="00D216CC">
              <w:rPr>
                <w:rFonts w:asciiTheme="minorHAnsi" w:hAnsiTheme="minorHAnsi" w:cs="Arial"/>
                <w:lang w:val="en-GB"/>
              </w:rPr>
              <w:t>.</w:t>
            </w:r>
          </w:p>
          <w:p w14:paraId="3107A99E" w14:textId="4B9B840A" w:rsidR="00F64BAA" w:rsidRPr="00F20631" w:rsidRDefault="00101C90" w:rsidP="00A16967">
            <w:pPr>
              <w:numPr>
                <w:ilvl w:val="0"/>
                <w:numId w:val="24"/>
              </w:numPr>
              <w:spacing w:line="293" w:lineRule="atLeast"/>
              <w:textAlignment w:val="baseline"/>
              <w:rPr>
                <w:rFonts w:asciiTheme="minorHAnsi" w:hAnsiTheme="minorHAnsi"/>
                <w:lang w:val="en-GB"/>
              </w:rPr>
            </w:pPr>
            <w:r w:rsidRPr="00A16967">
              <w:rPr>
                <w:rFonts w:asciiTheme="minorHAnsi" w:hAnsiTheme="minorHAnsi" w:cs="Arial"/>
                <w:lang w:val="en-GB"/>
              </w:rPr>
              <w:t>Provide research support as relevant to project team and partners</w:t>
            </w:r>
            <w:r w:rsidR="00D216CC">
              <w:rPr>
                <w:rFonts w:asciiTheme="minorHAnsi" w:hAnsiTheme="minorHAnsi" w:cs="Arial"/>
                <w:lang w:val="en-GB"/>
              </w:rPr>
              <w:t>.</w:t>
            </w:r>
          </w:p>
        </w:tc>
        <w:tc>
          <w:tcPr>
            <w:tcW w:w="1005" w:type="dxa"/>
          </w:tcPr>
          <w:p w14:paraId="0E02DEFB" w14:textId="27EA14AF" w:rsidR="00F64BAA" w:rsidRPr="001B6350" w:rsidRDefault="00E84AD7" w:rsidP="00B65404">
            <w:pPr>
              <w:jc w:val="center"/>
              <w:rPr>
                <w:rFonts w:asciiTheme="minorHAnsi" w:hAnsiTheme="minorHAnsi" w:cs="Arial"/>
                <w:b/>
                <w:lang w:val="en-GB"/>
              </w:rPr>
            </w:pPr>
            <w:r>
              <w:rPr>
                <w:rFonts w:asciiTheme="minorHAnsi" w:hAnsiTheme="minorHAnsi" w:cs="Arial"/>
                <w:b/>
                <w:lang w:val="en-GB"/>
              </w:rPr>
              <w:t>3</w:t>
            </w:r>
            <w:r w:rsidR="008852E0">
              <w:rPr>
                <w:rFonts w:asciiTheme="minorHAnsi" w:hAnsiTheme="minorHAnsi" w:cs="Arial"/>
                <w:b/>
                <w:lang w:val="en-GB"/>
              </w:rPr>
              <w:t>0%</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261BFD8" w14:textId="3307238C" w:rsidR="00463D34" w:rsidRDefault="004C0921" w:rsidP="00D91EE0">
            <w:pPr>
              <w:pStyle w:val="ListParagraph"/>
              <w:numPr>
                <w:ilvl w:val="0"/>
                <w:numId w:val="19"/>
              </w:numPr>
              <w:rPr>
                <w:rFonts w:asciiTheme="minorHAnsi" w:hAnsiTheme="minorHAnsi"/>
                <w:lang w:val="en-GB"/>
              </w:rPr>
            </w:pPr>
            <w:r>
              <w:rPr>
                <w:rFonts w:asciiTheme="minorHAnsi" w:hAnsiTheme="minorHAnsi"/>
                <w:lang w:val="en-GB"/>
              </w:rPr>
              <w:t>Help draft</w:t>
            </w:r>
            <w:r w:rsidR="008A646F">
              <w:rPr>
                <w:rFonts w:asciiTheme="minorHAnsi" w:hAnsiTheme="minorHAnsi"/>
                <w:lang w:val="en-GB"/>
              </w:rPr>
              <w:t xml:space="preserve"> social media and communication pieces on</w:t>
            </w:r>
            <w:r w:rsidR="005636C9">
              <w:rPr>
                <w:rFonts w:asciiTheme="minorHAnsi" w:hAnsiTheme="minorHAnsi"/>
                <w:lang w:val="en-GB"/>
              </w:rPr>
              <w:t xml:space="preserve"> </w:t>
            </w:r>
            <w:r w:rsidR="008A646F">
              <w:rPr>
                <w:rFonts w:asciiTheme="minorHAnsi" w:hAnsiTheme="minorHAnsi"/>
                <w:lang w:val="en-GB"/>
              </w:rPr>
              <w:t>recovery</w:t>
            </w:r>
            <w:r w:rsidR="005636C9">
              <w:rPr>
                <w:rFonts w:asciiTheme="minorHAnsi" w:hAnsiTheme="minorHAnsi"/>
                <w:lang w:val="en-GB"/>
              </w:rPr>
              <w:t>, renewal</w:t>
            </w:r>
            <w:r w:rsidR="008A646F">
              <w:rPr>
                <w:rFonts w:asciiTheme="minorHAnsi" w:hAnsiTheme="minorHAnsi"/>
                <w:lang w:val="en-GB"/>
              </w:rPr>
              <w:t xml:space="preserve"> &amp; resilience component of the M4EG.</w:t>
            </w:r>
            <w:r>
              <w:rPr>
                <w:rFonts w:asciiTheme="minorHAnsi" w:hAnsiTheme="minorHAnsi"/>
                <w:lang w:val="en-GB"/>
              </w:rPr>
              <w:t xml:space="preserve"> </w:t>
            </w:r>
          </w:p>
          <w:p w14:paraId="0F387E28" w14:textId="4524C38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r w:rsidR="00E84AD7">
              <w:rPr>
                <w:rFonts w:asciiTheme="minorHAnsi" w:hAnsiTheme="minorHAnsi"/>
                <w:lang w:val="en-GB"/>
              </w:rPr>
              <w:t>, including events and related peer to peer support to municipalities under M4EG</w:t>
            </w:r>
          </w:p>
        </w:tc>
        <w:tc>
          <w:tcPr>
            <w:tcW w:w="1005" w:type="dxa"/>
          </w:tcPr>
          <w:p w14:paraId="6328C4F0" w14:textId="543C0264" w:rsidR="009502ED" w:rsidRPr="00D91EE0" w:rsidRDefault="00E84AD7" w:rsidP="00D91EE0">
            <w:pPr>
              <w:ind w:left="360"/>
              <w:rPr>
                <w:rFonts w:asciiTheme="minorHAnsi" w:hAnsiTheme="minorHAnsi"/>
                <w:b/>
                <w:bCs/>
                <w:lang w:val="en-GB"/>
              </w:rPr>
            </w:pPr>
            <w:r>
              <w:rPr>
                <w:rFonts w:asciiTheme="minorHAnsi" w:hAnsiTheme="minorHAnsi"/>
                <w:b/>
                <w:bCs/>
                <w:lang w:val="en-GB"/>
              </w:rPr>
              <w:t>2</w:t>
            </w:r>
            <w:r w:rsidR="008852E0">
              <w:rPr>
                <w:rFonts w:asciiTheme="minorHAnsi" w:hAnsiTheme="minorHAnsi"/>
                <w:b/>
                <w:bCs/>
                <w:lang w:val="en-GB"/>
              </w:rPr>
              <w:t>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4184C576"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1D1AE7">
                <w:rPr>
                  <w:rFonts w:ascii="Calibri" w:hAnsi="Calibri" w:cs="Calibri"/>
                  <w:b/>
                  <w:bCs/>
                  <w:sz w:val="22"/>
                  <w:szCs w:val="22"/>
                  <w:lang w:val="en-GB"/>
                </w:rPr>
                <w:t xml:space="preserve">Urban studies, </w:t>
              </w:r>
              <w:r w:rsidR="002A6187">
                <w:rPr>
                  <w:rFonts w:ascii="Calibri" w:hAnsi="Calibri" w:cs="Calibri"/>
                  <w:b/>
                  <w:bCs/>
                  <w:sz w:val="22"/>
                  <w:szCs w:val="22"/>
                  <w:lang w:val="en-GB"/>
                </w:rPr>
                <w:t>local economic</w:t>
              </w:r>
              <w:r w:rsidR="001D1AE7">
                <w:rPr>
                  <w:rFonts w:ascii="Calibri" w:hAnsi="Calibri" w:cs="Calibri"/>
                  <w:b/>
                  <w:bCs/>
                  <w:sz w:val="22"/>
                  <w:szCs w:val="22"/>
                  <w:lang w:val="en-GB"/>
                </w:rPr>
                <w:t xml:space="preserve"> development</w:t>
              </w:r>
            </w:sdtContent>
          </w:sdt>
        </w:sdtContent>
      </w:sdt>
      <w:r w:rsidR="00D248C5">
        <w:rPr>
          <w:rFonts w:asciiTheme="minorHAnsi" w:hAnsiTheme="minorHAnsi"/>
          <w:lang w:val="en-GB"/>
        </w:rPr>
        <w:t xml:space="preserve">, </w:t>
      </w:r>
      <w:r w:rsidR="00D248C5" w:rsidRPr="00D248C5">
        <w:rPr>
          <w:rFonts w:asciiTheme="minorHAnsi" w:hAnsiTheme="minorHAnsi"/>
          <w:b/>
          <w:bCs/>
          <w:lang w:val="en-GB"/>
        </w:rPr>
        <w:t>resilience</w:t>
      </w:r>
      <w:r w:rsidR="00D248C5">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2328236F" w14:textId="615EB898" w:rsidR="00D91EE0" w:rsidRPr="00350BD6" w:rsidRDefault="0017368E" w:rsidP="00350BD6">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350BD6">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2562A139" w:rsidR="004300EB" w:rsidRPr="00135960" w:rsidRDefault="00124CF0"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6AC1ECA7"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24CF0">
        <w:rPr>
          <w:rFonts w:asciiTheme="minorHAnsi" w:hAnsiTheme="minorHAnsi" w:cs="Arial"/>
          <w:sz w:val="20"/>
        </w:rPr>
        <w:t xml:space="preserve">Russian or </w:t>
      </w:r>
      <w:r w:rsidR="002A6187">
        <w:rPr>
          <w:rFonts w:asciiTheme="minorHAnsi" w:hAnsiTheme="minorHAnsi" w:cs="Arial"/>
          <w:sz w:val="20"/>
        </w:rPr>
        <w:t>another language in the Eastern Partnership</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lastRenderedPageBreak/>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3"/>
      <w:footerReference w:type="default" r:id="rId14"/>
      <w:headerReference w:type="first" r:id="rId15"/>
      <w:footerReference w:type="first" r:id="rId16"/>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66B68"/>
    <w:multiLevelType w:val="multilevel"/>
    <w:tmpl w:val="8772C5E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5414488">
    <w:abstractNumId w:val="13"/>
  </w:num>
  <w:num w:numId="2" w16cid:durableId="1538002994">
    <w:abstractNumId w:val="19"/>
  </w:num>
  <w:num w:numId="3" w16cid:durableId="1050810888">
    <w:abstractNumId w:val="5"/>
  </w:num>
  <w:num w:numId="4" w16cid:durableId="403375745">
    <w:abstractNumId w:val="10"/>
  </w:num>
  <w:num w:numId="5" w16cid:durableId="1881235357">
    <w:abstractNumId w:val="18"/>
  </w:num>
  <w:num w:numId="6" w16cid:durableId="1223247341">
    <w:abstractNumId w:val="16"/>
  </w:num>
  <w:num w:numId="7" w16cid:durableId="313067843">
    <w:abstractNumId w:val="21"/>
  </w:num>
  <w:num w:numId="8" w16cid:durableId="2005667434">
    <w:abstractNumId w:val="8"/>
  </w:num>
  <w:num w:numId="9" w16cid:durableId="366415367">
    <w:abstractNumId w:val="22"/>
  </w:num>
  <w:num w:numId="10" w16cid:durableId="683896070">
    <w:abstractNumId w:val="0"/>
  </w:num>
  <w:num w:numId="11" w16cid:durableId="927080550">
    <w:abstractNumId w:val="11"/>
  </w:num>
  <w:num w:numId="12" w16cid:durableId="1207916136">
    <w:abstractNumId w:val="6"/>
  </w:num>
  <w:num w:numId="13" w16cid:durableId="1214120689">
    <w:abstractNumId w:val="20"/>
  </w:num>
  <w:num w:numId="14" w16cid:durableId="443114534">
    <w:abstractNumId w:val="3"/>
  </w:num>
  <w:num w:numId="15" w16cid:durableId="971715441">
    <w:abstractNumId w:val="17"/>
  </w:num>
  <w:num w:numId="16" w16cid:durableId="546601301">
    <w:abstractNumId w:val="15"/>
  </w:num>
  <w:num w:numId="17" w16cid:durableId="1933321184">
    <w:abstractNumId w:val="4"/>
  </w:num>
  <w:num w:numId="18" w16cid:durableId="565996449">
    <w:abstractNumId w:val="2"/>
  </w:num>
  <w:num w:numId="19" w16cid:durableId="1694647890">
    <w:abstractNumId w:val="7"/>
  </w:num>
  <w:num w:numId="20" w16cid:durableId="121659633">
    <w:abstractNumId w:val="12"/>
  </w:num>
  <w:num w:numId="21" w16cid:durableId="2003391023">
    <w:abstractNumId w:val="24"/>
  </w:num>
  <w:num w:numId="22" w16cid:durableId="1484588354">
    <w:abstractNumId w:val="14"/>
  </w:num>
  <w:num w:numId="23" w16cid:durableId="667513302">
    <w:abstractNumId w:val="9"/>
  </w:num>
  <w:num w:numId="24" w16cid:durableId="1073087817">
    <w:abstractNumId w:val="23"/>
  </w:num>
  <w:num w:numId="25" w16cid:durableId="212274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0C12"/>
    <w:rsid w:val="00023C49"/>
    <w:rsid w:val="00036CCE"/>
    <w:rsid w:val="000417CD"/>
    <w:rsid w:val="00041B11"/>
    <w:rsid w:val="00041B40"/>
    <w:rsid w:val="00042749"/>
    <w:rsid w:val="000428AD"/>
    <w:rsid w:val="0004693F"/>
    <w:rsid w:val="0004733B"/>
    <w:rsid w:val="00047F23"/>
    <w:rsid w:val="00050DF5"/>
    <w:rsid w:val="00055936"/>
    <w:rsid w:val="00057250"/>
    <w:rsid w:val="000636B1"/>
    <w:rsid w:val="0008223F"/>
    <w:rsid w:val="00087C6F"/>
    <w:rsid w:val="00091CCC"/>
    <w:rsid w:val="000977A2"/>
    <w:rsid w:val="00097DE0"/>
    <w:rsid w:val="000A2976"/>
    <w:rsid w:val="000A4F00"/>
    <w:rsid w:val="000B06AE"/>
    <w:rsid w:val="000B14BC"/>
    <w:rsid w:val="000C0960"/>
    <w:rsid w:val="000C13E5"/>
    <w:rsid w:val="000C154F"/>
    <w:rsid w:val="000C6554"/>
    <w:rsid w:val="000D39F5"/>
    <w:rsid w:val="000E0F5B"/>
    <w:rsid w:val="000E3765"/>
    <w:rsid w:val="000E392F"/>
    <w:rsid w:val="000E77EC"/>
    <w:rsid w:val="000F1681"/>
    <w:rsid w:val="000F2B84"/>
    <w:rsid w:val="000F396D"/>
    <w:rsid w:val="000F5459"/>
    <w:rsid w:val="000F795F"/>
    <w:rsid w:val="00100EA2"/>
    <w:rsid w:val="00101C90"/>
    <w:rsid w:val="00103F1A"/>
    <w:rsid w:val="001040C6"/>
    <w:rsid w:val="00104580"/>
    <w:rsid w:val="00106071"/>
    <w:rsid w:val="00112996"/>
    <w:rsid w:val="0012041B"/>
    <w:rsid w:val="0012220F"/>
    <w:rsid w:val="00122931"/>
    <w:rsid w:val="00124C25"/>
    <w:rsid w:val="00124CF0"/>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2337"/>
    <w:rsid w:val="001C7DA5"/>
    <w:rsid w:val="001D1AE7"/>
    <w:rsid w:val="001D46DA"/>
    <w:rsid w:val="001D6062"/>
    <w:rsid w:val="001E07D3"/>
    <w:rsid w:val="001E2766"/>
    <w:rsid w:val="001E2EBE"/>
    <w:rsid w:val="001E4B26"/>
    <w:rsid w:val="001F20D9"/>
    <w:rsid w:val="001F4494"/>
    <w:rsid w:val="001F70C7"/>
    <w:rsid w:val="001F7B46"/>
    <w:rsid w:val="00200495"/>
    <w:rsid w:val="00200ED5"/>
    <w:rsid w:val="00201466"/>
    <w:rsid w:val="002058F8"/>
    <w:rsid w:val="00215B50"/>
    <w:rsid w:val="00217215"/>
    <w:rsid w:val="00223FD8"/>
    <w:rsid w:val="00224DBF"/>
    <w:rsid w:val="002268B9"/>
    <w:rsid w:val="00227860"/>
    <w:rsid w:val="00233FA4"/>
    <w:rsid w:val="00241380"/>
    <w:rsid w:val="002456C7"/>
    <w:rsid w:val="00251C3E"/>
    <w:rsid w:val="0025328F"/>
    <w:rsid w:val="00257033"/>
    <w:rsid w:val="00266783"/>
    <w:rsid w:val="00267CDF"/>
    <w:rsid w:val="00283201"/>
    <w:rsid w:val="00286831"/>
    <w:rsid w:val="00291269"/>
    <w:rsid w:val="002925E0"/>
    <w:rsid w:val="00292BEC"/>
    <w:rsid w:val="002933D1"/>
    <w:rsid w:val="002A30C7"/>
    <w:rsid w:val="002A618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0BD6"/>
    <w:rsid w:val="003518B1"/>
    <w:rsid w:val="0035256D"/>
    <w:rsid w:val="00356D4E"/>
    <w:rsid w:val="0036528F"/>
    <w:rsid w:val="003668AE"/>
    <w:rsid w:val="0038031E"/>
    <w:rsid w:val="0038488D"/>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15780"/>
    <w:rsid w:val="004219A3"/>
    <w:rsid w:val="0042396C"/>
    <w:rsid w:val="00427159"/>
    <w:rsid w:val="004300EB"/>
    <w:rsid w:val="00431887"/>
    <w:rsid w:val="00435B34"/>
    <w:rsid w:val="00443590"/>
    <w:rsid w:val="004451E2"/>
    <w:rsid w:val="00445796"/>
    <w:rsid w:val="00446FF5"/>
    <w:rsid w:val="00450C69"/>
    <w:rsid w:val="00451CA1"/>
    <w:rsid w:val="00453BEC"/>
    <w:rsid w:val="0045455E"/>
    <w:rsid w:val="00462A90"/>
    <w:rsid w:val="00463D34"/>
    <w:rsid w:val="0046730B"/>
    <w:rsid w:val="00467F53"/>
    <w:rsid w:val="0048459C"/>
    <w:rsid w:val="00485875"/>
    <w:rsid w:val="00491CAE"/>
    <w:rsid w:val="0049484C"/>
    <w:rsid w:val="004A2A95"/>
    <w:rsid w:val="004A3FB6"/>
    <w:rsid w:val="004B209F"/>
    <w:rsid w:val="004B596F"/>
    <w:rsid w:val="004C0414"/>
    <w:rsid w:val="004C0921"/>
    <w:rsid w:val="004C10BB"/>
    <w:rsid w:val="004C51E2"/>
    <w:rsid w:val="004C58D8"/>
    <w:rsid w:val="004C62BD"/>
    <w:rsid w:val="004D4B98"/>
    <w:rsid w:val="004F20A1"/>
    <w:rsid w:val="0050292B"/>
    <w:rsid w:val="00502EDF"/>
    <w:rsid w:val="00503FD8"/>
    <w:rsid w:val="00503FF3"/>
    <w:rsid w:val="0051361E"/>
    <w:rsid w:val="00517007"/>
    <w:rsid w:val="00525ACD"/>
    <w:rsid w:val="00530092"/>
    <w:rsid w:val="005322C6"/>
    <w:rsid w:val="005337BB"/>
    <w:rsid w:val="005539A9"/>
    <w:rsid w:val="005556B7"/>
    <w:rsid w:val="0055703D"/>
    <w:rsid w:val="005570B5"/>
    <w:rsid w:val="005636C9"/>
    <w:rsid w:val="00567B61"/>
    <w:rsid w:val="00570CF2"/>
    <w:rsid w:val="005747F8"/>
    <w:rsid w:val="005877B3"/>
    <w:rsid w:val="00590964"/>
    <w:rsid w:val="00591376"/>
    <w:rsid w:val="0059342C"/>
    <w:rsid w:val="005A3B44"/>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0B72"/>
    <w:rsid w:val="00612010"/>
    <w:rsid w:val="00617B12"/>
    <w:rsid w:val="006252F7"/>
    <w:rsid w:val="0063282F"/>
    <w:rsid w:val="00632DFE"/>
    <w:rsid w:val="006335BE"/>
    <w:rsid w:val="00634DEC"/>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26722"/>
    <w:rsid w:val="00741F7F"/>
    <w:rsid w:val="0075041A"/>
    <w:rsid w:val="00751148"/>
    <w:rsid w:val="0075373F"/>
    <w:rsid w:val="00762186"/>
    <w:rsid w:val="00765F30"/>
    <w:rsid w:val="00774376"/>
    <w:rsid w:val="00777FF5"/>
    <w:rsid w:val="00783EF5"/>
    <w:rsid w:val="00792693"/>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52E0"/>
    <w:rsid w:val="008866AE"/>
    <w:rsid w:val="00891155"/>
    <w:rsid w:val="0089453F"/>
    <w:rsid w:val="00895918"/>
    <w:rsid w:val="00897838"/>
    <w:rsid w:val="008A30C9"/>
    <w:rsid w:val="008A589A"/>
    <w:rsid w:val="008A646F"/>
    <w:rsid w:val="008B1C6E"/>
    <w:rsid w:val="008B5546"/>
    <w:rsid w:val="008B5807"/>
    <w:rsid w:val="008C75CB"/>
    <w:rsid w:val="008D3DA8"/>
    <w:rsid w:val="008E54BD"/>
    <w:rsid w:val="009009F8"/>
    <w:rsid w:val="00902E3E"/>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656EF"/>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16967"/>
    <w:rsid w:val="00A22A18"/>
    <w:rsid w:val="00A2652A"/>
    <w:rsid w:val="00A47808"/>
    <w:rsid w:val="00A551BB"/>
    <w:rsid w:val="00A56DAF"/>
    <w:rsid w:val="00A601F8"/>
    <w:rsid w:val="00A72CAD"/>
    <w:rsid w:val="00A7780C"/>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258C"/>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BE73BE"/>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16CC"/>
    <w:rsid w:val="00D248C5"/>
    <w:rsid w:val="00D254F6"/>
    <w:rsid w:val="00D274D0"/>
    <w:rsid w:val="00D35F0A"/>
    <w:rsid w:val="00D46638"/>
    <w:rsid w:val="00D522CE"/>
    <w:rsid w:val="00D53E47"/>
    <w:rsid w:val="00D60425"/>
    <w:rsid w:val="00D70AF4"/>
    <w:rsid w:val="00D71594"/>
    <w:rsid w:val="00D7362D"/>
    <w:rsid w:val="00D80BA0"/>
    <w:rsid w:val="00D81DD1"/>
    <w:rsid w:val="00D826E7"/>
    <w:rsid w:val="00D83735"/>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41B4"/>
    <w:rsid w:val="00E560D4"/>
    <w:rsid w:val="00E56B39"/>
    <w:rsid w:val="00E60ECC"/>
    <w:rsid w:val="00E7290B"/>
    <w:rsid w:val="00E73CCD"/>
    <w:rsid w:val="00E73F0B"/>
    <w:rsid w:val="00E84AD7"/>
    <w:rsid w:val="00E8606F"/>
    <w:rsid w:val="00E87C22"/>
    <w:rsid w:val="00EA063B"/>
    <w:rsid w:val="00EA0AE9"/>
    <w:rsid w:val="00EA28FF"/>
    <w:rsid w:val="00EB47A2"/>
    <w:rsid w:val="00EC0FF7"/>
    <w:rsid w:val="00ED0C31"/>
    <w:rsid w:val="00ED48BE"/>
    <w:rsid w:val="00EE0144"/>
    <w:rsid w:val="00EE34C2"/>
    <w:rsid w:val="00EE388E"/>
    <w:rsid w:val="00EE5405"/>
    <w:rsid w:val="00EF2A7A"/>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0B1F"/>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uiPriority w:val="99"/>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427386898">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asia.undp.org/content/rbec/en/home/presscenter/pressreleases/2021/the-eu-and-undp-on-a-learning-journey-to-embrace-complexity-in-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m4eg.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3c4e973c-2139-4b51-afd0-f5f45cff5d8e"/>
    <ds:schemaRef ds:uri="f4aa1da6-0ee8-41ad-9d73-e132bdf45b42"/>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B2B3906B-A34E-465A-BD45-9B56C5AAE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755</Words>
  <Characters>4840</Characters>
  <Application>Microsoft Office Word</Application>
  <DocSecurity>0</DocSecurity>
  <Lines>40</Lines>
  <Paragraphs>11</Paragraphs>
  <ScaleCrop>false</ScaleCrop>
  <Company>UNDP/IAPSO</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51</cp:revision>
  <dcterms:created xsi:type="dcterms:W3CDTF">2022-04-05T06:49:00Z</dcterms:created>
  <dcterms:modified xsi:type="dcterms:W3CDTF">2023-03-07T07:14:00Z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0x0101001C85423F0F6FA74ABEC7188475BDC9F2</vt:lpwstr>
  </property>
  <property fmtid="{D5CDD505-2E9C-101B-9397-08002B2CF9AE}" pid="3" name="MediaServiceImageTags">
    <vt:lpwstr/>
  </property>
</Properties>
</file>